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FC5B" w14:textId="02B99042" w:rsidR="007506BE" w:rsidRPr="00842865" w:rsidRDefault="007506BE" w:rsidP="007506BE">
      <w:pPr>
        <w:jc w:val="center"/>
        <w:rPr>
          <w:b/>
          <w:color w:val="31849B" w:themeColor="accent5" w:themeShade="BF"/>
          <w:sz w:val="36"/>
        </w:rPr>
      </w:pPr>
      <w:r w:rsidRPr="00842865">
        <w:rPr>
          <w:b/>
          <w:color w:val="31849B" w:themeColor="accent5" w:themeShade="BF"/>
          <w:sz w:val="36"/>
        </w:rPr>
        <w:t>Formation « </w:t>
      </w:r>
      <w:r>
        <w:rPr>
          <w:b/>
          <w:color w:val="31849B" w:themeColor="accent5" w:themeShade="BF"/>
          <w:sz w:val="36"/>
        </w:rPr>
        <w:t>Gestion des risques d’e</w:t>
      </w:r>
      <w:r w:rsidRPr="00842865">
        <w:rPr>
          <w:b/>
          <w:color w:val="31849B" w:themeColor="accent5" w:themeShade="BF"/>
          <w:sz w:val="36"/>
        </w:rPr>
        <w:t>rreurs médicamenteuses</w:t>
      </w:r>
      <w:r>
        <w:rPr>
          <w:b/>
          <w:color w:val="31849B" w:themeColor="accent5" w:themeShade="BF"/>
          <w:sz w:val="36"/>
        </w:rPr>
        <w:t> </w:t>
      </w:r>
      <w:r w:rsidRPr="00842865">
        <w:rPr>
          <w:b/>
          <w:color w:val="31849B" w:themeColor="accent5" w:themeShade="BF"/>
          <w:sz w:val="36"/>
        </w:rPr>
        <w:t> »</w:t>
      </w:r>
    </w:p>
    <w:p w14:paraId="26E8E888" w14:textId="77777777" w:rsidR="007506BE" w:rsidRPr="007506BE" w:rsidRDefault="007506BE" w:rsidP="007506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 w:val="32"/>
          <w:szCs w:val="32"/>
        </w:rPr>
      </w:pPr>
      <w:r w:rsidRPr="007506BE">
        <w:rPr>
          <w:b/>
          <w:sz w:val="32"/>
          <w:szCs w:val="32"/>
        </w:rPr>
        <w:t>Questionnaires d’auto-évaluation des connaissances</w:t>
      </w:r>
      <w:r w:rsidRPr="007506BE">
        <w:rPr>
          <w:b/>
          <w:sz w:val="32"/>
          <w:szCs w:val="32"/>
        </w:rPr>
        <w:br/>
        <w:t>Pré- et post-formation</w:t>
      </w:r>
    </w:p>
    <w:p w14:paraId="502D8019" w14:textId="77777777" w:rsidR="00016076" w:rsidRPr="00016076" w:rsidRDefault="00016076" w:rsidP="007506BE">
      <w:pPr>
        <w:spacing w:line="240" w:lineRule="auto"/>
        <w:jc w:val="both"/>
        <w:rPr>
          <w:b/>
          <w:sz w:val="8"/>
        </w:rPr>
      </w:pPr>
    </w:p>
    <w:p w14:paraId="7C981EFD" w14:textId="77777777" w:rsidR="00016076" w:rsidRPr="00016076" w:rsidRDefault="00016076" w:rsidP="00016076">
      <w:pPr>
        <w:tabs>
          <w:tab w:val="left" w:leader="underscore" w:pos="7371"/>
        </w:tabs>
        <w:spacing w:line="240" w:lineRule="auto"/>
        <w:jc w:val="both"/>
        <w:rPr>
          <w:b/>
          <w:color w:val="00B050"/>
        </w:rPr>
      </w:pPr>
      <w:r w:rsidRPr="00016076">
        <w:rPr>
          <w:b/>
          <w:color w:val="00B050"/>
        </w:rPr>
        <w:t xml:space="preserve">Nom, Prénom : </w:t>
      </w:r>
      <w:r w:rsidRPr="00016076">
        <w:rPr>
          <w:b/>
          <w:color w:val="00B050"/>
        </w:rPr>
        <w:tab/>
      </w:r>
    </w:p>
    <w:p w14:paraId="72E9BCEE" w14:textId="77777777" w:rsidR="00016076" w:rsidRDefault="00016076" w:rsidP="007506BE">
      <w:pPr>
        <w:spacing w:line="240" w:lineRule="auto"/>
        <w:jc w:val="both"/>
        <w:rPr>
          <w:b/>
        </w:rPr>
      </w:pPr>
    </w:p>
    <w:p w14:paraId="0C01DB65" w14:textId="77777777"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>Concernant les erreurs médicamenteuses (plusieurs réponses possibles) :</w:t>
      </w:r>
    </w:p>
    <w:p w14:paraId="3E4A5894" w14:textId="77777777" w:rsidR="007506BE" w:rsidRPr="001971F1" w:rsidRDefault="00D06748" w:rsidP="007506BE">
      <w:pPr>
        <w:spacing w:line="240" w:lineRule="auto"/>
        <w:jc w:val="both"/>
      </w:pPr>
      <w:sdt>
        <w:sdtPr>
          <w:id w:val="176756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 non-respect de la règle des 5B aboutit à une erreur médicamenteuse</w:t>
      </w:r>
    </w:p>
    <w:p w14:paraId="45350A05" w14:textId="77777777" w:rsidR="007506BE" w:rsidRPr="001971F1" w:rsidRDefault="00D06748" w:rsidP="007506BE">
      <w:pPr>
        <w:spacing w:line="240" w:lineRule="auto"/>
        <w:jc w:val="both"/>
      </w:pPr>
      <w:sdt>
        <w:sdtPr>
          <w:id w:val="-2092536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Chaque étape du processus de réalisation « Prise en charge médicamenteuse » est source d'erreurs potentielles pouvant mettre en jeu la sécurité du patient</w:t>
      </w:r>
    </w:p>
    <w:p w14:paraId="1ECE3D02" w14:textId="77777777" w:rsidR="007506BE" w:rsidRPr="001971F1" w:rsidRDefault="00D06748" w:rsidP="007506BE">
      <w:pPr>
        <w:spacing w:line="240" w:lineRule="auto"/>
        <w:jc w:val="both"/>
      </w:pPr>
      <w:sdt>
        <w:sdtPr>
          <w:id w:val="-325596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Les facteurs à l’origine du plus grand nombre d’erreurs médicamenteuses sont ceux liés à l’environnement de travail</w:t>
      </w:r>
    </w:p>
    <w:p w14:paraId="69072B5F" w14:textId="77777777" w:rsidR="007506BE" w:rsidRPr="001971F1" w:rsidRDefault="00D06748" w:rsidP="007506BE">
      <w:pPr>
        <w:spacing w:line="240" w:lineRule="auto"/>
        <w:jc w:val="both"/>
      </w:pPr>
      <w:sdt>
        <w:sdtPr>
          <w:id w:val="-565262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formation des acteurs de la prise en charge médicamenteuse n’est pas une « mesure barrière » d’erreurs médicamenteuses</w:t>
      </w:r>
    </w:p>
    <w:p w14:paraId="5317DDD0" w14:textId="77777777" w:rsidR="007506BE" w:rsidRPr="001971F1" w:rsidRDefault="007506BE" w:rsidP="007506BE">
      <w:pPr>
        <w:spacing w:line="240" w:lineRule="auto"/>
        <w:rPr>
          <w:b/>
          <w:sz w:val="28"/>
        </w:rPr>
      </w:pPr>
    </w:p>
    <w:p w14:paraId="55A54988" w14:textId="77777777"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>Concernant la gestion des risques (plusieurs réponses possibles) :</w:t>
      </w:r>
    </w:p>
    <w:p w14:paraId="4102BF7F" w14:textId="77777777" w:rsidR="007506BE" w:rsidRPr="001971F1" w:rsidRDefault="00D06748" w:rsidP="007506BE">
      <w:pPr>
        <w:spacing w:line="240" w:lineRule="auto"/>
        <w:jc w:val="both"/>
      </w:pPr>
      <w:sdt>
        <w:sdtPr>
          <w:id w:val="936719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C’est une approche transversale basée sur la collaboration entre tous les acteurs concernés</w:t>
      </w:r>
    </w:p>
    <w:p w14:paraId="217943DB" w14:textId="77777777" w:rsidR="007506BE" w:rsidRPr="001971F1" w:rsidRDefault="00D06748" w:rsidP="007506BE">
      <w:pPr>
        <w:spacing w:line="240" w:lineRule="auto"/>
        <w:jc w:val="both"/>
      </w:pPr>
      <w:sdt>
        <w:sdtPr>
          <w:id w:val="-154449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Elle permet d’augmenter la criticité des risques en réduisant leur fréquence et leur gravité</w:t>
      </w:r>
    </w:p>
    <w:p w14:paraId="442CDE6F" w14:textId="77777777" w:rsidR="007506BE" w:rsidRPr="001971F1" w:rsidRDefault="00D06748" w:rsidP="007506BE">
      <w:pPr>
        <w:spacing w:line="240" w:lineRule="auto"/>
        <w:jc w:val="both"/>
      </w:pPr>
      <w:sdt>
        <w:sdtPr>
          <w:id w:val="-1398433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L’analyse des risques permet de les hiérarchiser et de prioriser les actions d’amélioration</w:t>
      </w:r>
    </w:p>
    <w:p w14:paraId="085E12CF" w14:textId="77777777" w:rsidR="007506BE" w:rsidRPr="001971F1" w:rsidRDefault="00D06748" w:rsidP="007506BE">
      <w:pPr>
        <w:spacing w:line="240" w:lineRule="auto"/>
        <w:jc w:val="both"/>
      </w:pPr>
      <w:sdt>
        <w:sdtPr>
          <w:id w:val="-56133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 plan d’action définit uniquement le responsable et les modalités de suivi de chaque action</w:t>
      </w:r>
    </w:p>
    <w:p w14:paraId="1C043172" w14:textId="77777777" w:rsidR="007506BE" w:rsidRPr="001971F1" w:rsidRDefault="00D06748" w:rsidP="007506BE">
      <w:pPr>
        <w:spacing w:line="240" w:lineRule="auto"/>
        <w:jc w:val="both"/>
      </w:pPr>
      <w:sdt>
        <w:sdtPr>
          <w:id w:val="-149656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communication de l’analyse et du plan d’action aux professionnels n’ayant pas participé à l’analyse est une étape facultative de la gestion des risques</w:t>
      </w:r>
    </w:p>
    <w:p w14:paraId="67E99643" w14:textId="77777777" w:rsidR="007506BE" w:rsidRPr="001971F1" w:rsidRDefault="007506BE" w:rsidP="007506BE">
      <w:pPr>
        <w:spacing w:line="240" w:lineRule="auto"/>
        <w:jc w:val="both"/>
      </w:pPr>
    </w:p>
    <w:p w14:paraId="07367CDB" w14:textId="77777777"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 xml:space="preserve">Concernant la gestion des risques </w:t>
      </w:r>
      <w:r w:rsidRPr="001971F1">
        <w:rPr>
          <w:b/>
          <w:i/>
        </w:rPr>
        <w:t>a posteriori</w:t>
      </w:r>
      <w:r w:rsidRPr="001971F1">
        <w:rPr>
          <w:b/>
        </w:rPr>
        <w:t xml:space="preserve"> (plusieurs réponses possibles) :</w:t>
      </w:r>
    </w:p>
    <w:p w14:paraId="5060A258" w14:textId="77777777" w:rsidR="007506BE" w:rsidRPr="001971F1" w:rsidRDefault="00D06748" w:rsidP="007506BE">
      <w:pPr>
        <w:spacing w:line="240" w:lineRule="auto"/>
        <w:jc w:val="both"/>
      </w:pPr>
      <w:sdt>
        <w:sdtPr>
          <w:id w:val="-436977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L’identification des responsabilités de professionnels est l’un des objectifs de la gestion des risques</w:t>
      </w:r>
      <w:r w:rsidR="007506BE" w:rsidRPr="001971F1">
        <w:rPr>
          <w:i/>
        </w:rPr>
        <w:t xml:space="preserve"> a posteriori</w:t>
      </w:r>
    </w:p>
    <w:p w14:paraId="2640DA12" w14:textId="77777777" w:rsidR="007506BE" w:rsidRPr="001971F1" w:rsidRDefault="00D06748" w:rsidP="007506BE">
      <w:pPr>
        <w:spacing w:line="240" w:lineRule="auto"/>
        <w:jc w:val="both"/>
      </w:pPr>
      <w:sdt>
        <w:sdtPr>
          <w:id w:val="1646315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Les erreurs médicamenteuses n'ayant aucune conséquence pour le patient ne doivent pas être déclarées</w:t>
      </w:r>
    </w:p>
    <w:p w14:paraId="20FA9EB0" w14:textId="77777777" w:rsidR="007506BE" w:rsidRPr="001971F1" w:rsidRDefault="00D06748" w:rsidP="007506BE">
      <w:pPr>
        <w:spacing w:line="240" w:lineRule="auto"/>
        <w:jc w:val="both"/>
      </w:pPr>
      <w:sdt>
        <w:sdtPr>
          <w:id w:val="1171917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>La planification régulière des CREX (Comités de Retour d’Expérience) permet d’assurer le suivi des actions décidées aux séances précédentes</w:t>
      </w:r>
    </w:p>
    <w:p w14:paraId="49A6779D" w14:textId="77777777" w:rsidR="007506BE" w:rsidRPr="001971F1" w:rsidRDefault="00D06748" w:rsidP="007506BE">
      <w:pPr>
        <w:spacing w:line="240" w:lineRule="auto"/>
        <w:jc w:val="both"/>
        <w:rPr>
          <w:i/>
        </w:rPr>
      </w:pPr>
      <w:sdt>
        <w:sdtPr>
          <w:id w:val="665975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6063DB">
            <w:rPr>
              <w:rFonts w:ascii="MS Gothic" w:eastAsia="MS Gothic" w:hAnsi="MS Gothic" w:hint="eastAsia"/>
            </w:rPr>
            <w:t>☐</w:t>
          </w:r>
        </w:sdtContent>
      </w:sdt>
      <w:r w:rsidR="007506BE" w:rsidRPr="006063DB">
        <w:t>Le</w:t>
      </w:r>
      <w:r w:rsidR="00B75C80" w:rsidRPr="006063DB">
        <w:t>s</w:t>
      </w:r>
      <w:r w:rsidR="007506BE" w:rsidRPr="006063DB">
        <w:t xml:space="preserve"> CREX sont </w:t>
      </w:r>
      <w:r w:rsidR="007506BE" w:rsidRPr="001971F1">
        <w:t xml:space="preserve">des méthodes d’analyse de risque </w:t>
      </w:r>
      <w:r w:rsidR="007506BE" w:rsidRPr="001971F1">
        <w:rPr>
          <w:i/>
        </w:rPr>
        <w:t>a posteriori</w:t>
      </w:r>
      <w:r w:rsidR="007506BE" w:rsidRPr="001971F1">
        <w:rPr>
          <w:i/>
        </w:rPr>
        <w:br w:type="page"/>
      </w:r>
    </w:p>
    <w:p w14:paraId="1247AC49" w14:textId="77777777"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lastRenderedPageBreak/>
        <w:t xml:space="preserve">Concernant la gestion des risques </w:t>
      </w:r>
      <w:r w:rsidRPr="001971F1">
        <w:rPr>
          <w:b/>
          <w:i/>
        </w:rPr>
        <w:t>a priori</w:t>
      </w:r>
      <w:r w:rsidRPr="001971F1">
        <w:rPr>
          <w:b/>
        </w:rPr>
        <w:t xml:space="preserve"> (plusieurs réponses possibles) :</w:t>
      </w:r>
    </w:p>
    <w:p w14:paraId="62A935B9" w14:textId="77777777" w:rsidR="007506BE" w:rsidRPr="001971F1" w:rsidRDefault="00D06748" w:rsidP="007506BE">
      <w:pPr>
        <w:spacing w:line="240" w:lineRule="auto"/>
        <w:jc w:val="both"/>
        <w:rPr>
          <w:i/>
        </w:rPr>
      </w:pPr>
      <w:sdt>
        <w:sdtPr>
          <w:id w:val="-754983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La gestion des risques </w:t>
      </w:r>
      <w:r w:rsidR="007506BE" w:rsidRPr="001971F1">
        <w:rPr>
          <w:i/>
        </w:rPr>
        <w:t>a priori</w:t>
      </w:r>
      <w:r w:rsidR="007506BE" w:rsidRPr="001971F1">
        <w:t xml:space="preserve"> est plus efficiente et moins coûteuse qu’</w:t>
      </w:r>
      <w:r w:rsidR="007506BE" w:rsidRPr="001971F1">
        <w:rPr>
          <w:i/>
        </w:rPr>
        <w:t>a posteriori</w:t>
      </w:r>
    </w:p>
    <w:p w14:paraId="107EE5CF" w14:textId="77777777" w:rsidR="007506BE" w:rsidRPr="001971F1" w:rsidRDefault="00D06748" w:rsidP="007506BE">
      <w:pPr>
        <w:spacing w:line="240" w:lineRule="auto"/>
        <w:jc w:val="both"/>
      </w:pPr>
      <w:sdt>
        <w:sdtPr>
          <w:id w:val="262891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La cartographie des risques est une méthode de gestion des risques </w:t>
      </w:r>
      <w:r w:rsidR="007506BE" w:rsidRPr="001971F1">
        <w:rPr>
          <w:i/>
        </w:rPr>
        <w:t>a priori</w:t>
      </w:r>
    </w:p>
    <w:p w14:paraId="6F42E361" w14:textId="77777777" w:rsidR="007506BE" w:rsidRPr="001971F1" w:rsidRDefault="00D06748" w:rsidP="007506BE">
      <w:pPr>
        <w:spacing w:line="240" w:lineRule="auto"/>
        <w:jc w:val="both"/>
      </w:pPr>
      <w:sdt>
        <w:sdtPr>
          <w:id w:val="200208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698F" w:rsidRPr="001971F1">
            <w:rPr>
              <w:rFonts w:ascii="MS Gothic" w:eastAsia="MS Gothic" w:hAnsi="MS Gothic" w:hint="eastAsia"/>
            </w:rPr>
            <w:t>☐</w:t>
          </w:r>
        </w:sdtContent>
      </w:sdt>
      <w:r w:rsidR="007506BE" w:rsidRPr="001971F1">
        <w:t xml:space="preserve">L'analyse des risques </w:t>
      </w:r>
      <w:r w:rsidR="007506BE" w:rsidRPr="001971F1">
        <w:rPr>
          <w:i/>
        </w:rPr>
        <w:t>a priori</w:t>
      </w:r>
      <w:r w:rsidR="007506BE" w:rsidRPr="001971F1">
        <w:t xml:space="preserve"> repose sur l'analyse approfondie des causes d'un événement pour éviter la survenue d'un autre événement indésirable</w:t>
      </w:r>
    </w:p>
    <w:p w14:paraId="7419EE61" w14:textId="77777777" w:rsidR="007506BE" w:rsidRPr="001971F1" w:rsidRDefault="007506BE" w:rsidP="007506BE">
      <w:pPr>
        <w:spacing w:line="240" w:lineRule="auto"/>
        <w:jc w:val="both"/>
      </w:pPr>
    </w:p>
    <w:p w14:paraId="21DB000B" w14:textId="77777777" w:rsidR="007506BE" w:rsidRPr="001971F1" w:rsidRDefault="007506BE" w:rsidP="007506BE">
      <w:pPr>
        <w:spacing w:line="240" w:lineRule="auto"/>
        <w:jc w:val="both"/>
        <w:rPr>
          <w:b/>
        </w:rPr>
      </w:pPr>
      <w:r w:rsidRPr="001971F1">
        <w:rPr>
          <w:b/>
        </w:rPr>
        <w:t xml:space="preserve">Concernant l’analyse des erreurs médicamenteuses </w:t>
      </w:r>
      <w:r w:rsidRPr="001971F1">
        <w:rPr>
          <w:b/>
          <w:i/>
        </w:rPr>
        <w:t>a posteriori</w:t>
      </w:r>
      <w:r w:rsidRPr="001971F1">
        <w:rPr>
          <w:b/>
        </w:rPr>
        <w:t xml:space="preserve">, classez les grandes étapes </w:t>
      </w:r>
      <w:r w:rsidR="008C698F" w:rsidRPr="001971F1">
        <w:rPr>
          <w:b/>
        </w:rPr>
        <w:t>de 1 à 4 selon</w:t>
      </w:r>
      <w:r w:rsidRPr="001971F1">
        <w:rPr>
          <w:b/>
        </w:rPr>
        <w:t xml:space="preserve"> l’ordre chronologique</w:t>
      </w:r>
      <w:r w:rsidR="008C698F" w:rsidRPr="001971F1">
        <w:rPr>
          <w:b/>
        </w:rPr>
        <w:t xml:space="preserve"> (de la première à la dernière étape)</w:t>
      </w:r>
      <w:r w:rsidRPr="001971F1">
        <w:rPr>
          <w:b/>
        </w:rPr>
        <w:t> :</w:t>
      </w:r>
    </w:p>
    <w:p w14:paraId="699D62C3" w14:textId="77777777"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6063DB" w:rsidRPr="006063DB">
        <w:rPr>
          <w:color w:val="FF0000"/>
        </w:rPr>
        <w:t>Valider</w:t>
      </w:r>
      <w:r w:rsidR="001971F1" w:rsidRPr="006063DB">
        <w:rPr>
          <w:color w:val="FF0000"/>
        </w:rPr>
        <w:t xml:space="preserve"> </w:t>
      </w:r>
      <w:r w:rsidR="001971F1" w:rsidRPr="001971F1">
        <w:t>la chronologie des faits</w:t>
      </w:r>
    </w:p>
    <w:p w14:paraId="55E2B897" w14:textId="77777777"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7506BE" w:rsidRPr="001971F1">
        <w:t>Rencontr</w:t>
      </w:r>
      <w:r w:rsidR="001971F1" w:rsidRPr="001971F1">
        <w:t>er les professionnels concernés</w:t>
      </w:r>
    </w:p>
    <w:p w14:paraId="75D06C51" w14:textId="77777777"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1971F1" w:rsidRPr="001971F1">
        <w:t>Identifier les causes</w:t>
      </w:r>
    </w:p>
    <w:p w14:paraId="57D85C1B" w14:textId="77777777" w:rsidR="007506BE" w:rsidRPr="001971F1" w:rsidRDefault="008C698F" w:rsidP="007506BE">
      <w:pPr>
        <w:spacing w:line="240" w:lineRule="auto"/>
        <w:jc w:val="both"/>
      </w:pPr>
      <w:r w:rsidRPr="001971F1">
        <w:t xml:space="preserve">N° __ : </w:t>
      </w:r>
      <w:r w:rsidR="007506BE" w:rsidRPr="001971F1">
        <w:t>Identifier les écarts par rapport aux référent</w:t>
      </w:r>
      <w:r w:rsidR="001971F1" w:rsidRPr="001971F1">
        <w:t>iels (évènements intercurrents)</w:t>
      </w:r>
    </w:p>
    <w:p w14:paraId="22525B3E" w14:textId="77777777" w:rsidR="00AB7388" w:rsidRPr="001971F1" w:rsidRDefault="00AB7388">
      <w:pPr>
        <w:rPr>
          <w:b/>
          <w:sz w:val="28"/>
        </w:rPr>
      </w:pPr>
    </w:p>
    <w:sectPr w:rsidR="00AB7388" w:rsidRPr="00197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6BE"/>
    <w:rsid w:val="00016076"/>
    <w:rsid w:val="001971F1"/>
    <w:rsid w:val="001B3DC3"/>
    <w:rsid w:val="006063DB"/>
    <w:rsid w:val="007506BE"/>
    <w:rsid w:val="007B6569"/>
    <w:rsid w:val="008B0E33"/>
    <w:rsid w:val="008C698F"/>
    <w:rsid w:val="00AB7388"/>
    <w:rsid w:val="00B75C80"/>
    <w:rsid w:val="00D0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9DCD"/>
  <w15:docId w15:val="{D20CB8F0-5D99-4859-BFE8-C4C4C5ED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6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CHEREL, Albane (ARS-NORMANDIE/DOS/OMEDIT)</cp:lastModifiedBy>
  <cp:revision>4</cp:revision>
  <dcterms:created xsi:type="dcterms:W3CDTF">2020-04-10T09:37:00Z</dcterms:created>
  <dcterms:modified xsi:type="dcterms:W3CDTF">2025-03-12T13:43:00Z</dcterms:modified>
</cp:coreProperties>
</file>