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png" ContentType="image/png"/>
  <Override PartName="/word/media/image3.jpeg" ContentType="image/jpeg"/>
  <Override PartName="/word/media/image4.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left="2124" w:firstLine="708"/>
        <w:rPr>
          <w:b/>
          <w:b/>
          <w:sz w:val="28"/>
          <w:szCs w:val="28"/>
        </w:rPr>
      </w:pPr>
      <w:r>
        <w:drawing>
          <wp:anchor behindDoc="1" distT="0" distB="0" distL="0" distR="0" simplePos="0" locked="0" layoutInCell="0" allowOverlap="1" relativeHeight="3">
            <wp:simplePos x="0" y="0"/>
            <wp:positionH relativeFrom="column">
              <wp:posOffset>5253355</wp:posOffset>
            </wp:positionH>
            <wp:positionV relativeFrom="paragraph">
              <wp:posOffset>-2540</wp:posOffset>
            </wp:positionV>
            <wp:extent cx="1256030" cy="887095"/>
            <wp:effectExtent l="0" t="0" r="0" b="0"/>
            <wp:wrapNone/>
            <wp:docPr id="1" name="Image 1" descr="http://link-exp-web3/cristalnet_acces_anonyme_exp/gulper/images/logo_HAS_v4_2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http://link-exp-web3/cristalnet_acces_anonyme_exp/gulper/images/logo_HAS_v4_2016.PNG"/>
                    <pic:cNvPicPr>
                      <a:picLocks noChangeAspect="1" noChangeArrowheads="1"/>
                    </pic:cNvPicPr>
                  </pic:nvPicPr>
                  <pic:blipFill>
                    <a:blip r:embed="rId2"/>
                    <a:stretch>
                      <a:fillRect/>
                    </a:stretch>
                  </pic:blipFill>
                  <pic:spPr bwMode="auto">
                    <a:xfrm>
                      <a:off x="0" y="0"/>
                      <a:ext cx="1256030" cy="887095"/>
                    </a:xfrm>
                    <a:prstGeom prst="rect">
                      <a:avLst/>
                    </a:prstGeom>
                  </pic:spPr>
                </pic:pic>
              </a:graphicData>
            </a:graphic>
          </wp:anchor>
        </w:drawing>
        <w:drawing>
          <wp:anchor behindDoc="1" distT="0" distB="0" distL="0" distR="0" simplePos="0" locked="0" layoutInCell="0" allowOverlap="1" relativeHeight="4">
            <wp:simplePos x="0" y="0"/>
            <wp:positionH relativeFrom="column">
              <wp:posOffset>-471170</wp:posOffset>
            </wp:positionH>
            <wp:positionV relativeFrom="page">
              <wp:posOffset>447040</wp:posOffset>
            </wp:positionV>
            <wp:extent cx="856615" cy="1011555"/>
            <wp:effectExtent l="0" t="0" r="0" b="0"/>
            <wp:wrapNone/>
            <wp:docPr id="2" name="Image 2" descr="http://link-exp-web3/cristalnet_acces_anonyme_exp/gulper/images/logo_CH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http://link-exp-web3/cristalnet_acces_anonyme_exp/gulper/images/logo_CHF.png"/>
                    <pic:cNvPicPr>
                      <a:picLocks noChangeAspect="1" noChangeArrowheads="1"/>
                    </pic:cNvPicPr>
                  </pic:nvPicPr>
                  <pic:blipFill>
                    <a:blip r:embed="rId3"/>
                    <a:stretch>
                      <a:fillRect/>
                    </a:stretch>
                  </pic:blipFill>
                  <pic:spPr bwMode="auto">
                    <a:xfrm>
                      <a:off x="0" y="0"/>
                      <a:ext cx="856615" cy="1011555"/>
                    </a:xfrm>
                    <a:prstGeom prst="rect">
                      <a:avLst/>
                    </a:prstGeom>
                  </pic:spPr>
                </pic:pic>
              </a:graphicData>
            </a:graphic>
          </wp:anchor>
        </w:drawing>
      </w:r>
      <w:r>
        <w:rPr>
          <w:b/>
          <w:sz w:val="28"/>
          <w:szCs w:val="28"/>
        </w:rPr>
        <w:t>C</w:t>
      </w:r>
      <w:r>
        <w:rPr>
          <w:b/>
          <w:sz w:val="28"/>
          <w:szCs w:val="28"/>
        </w:rPr>
        <w:t xml:space="preserve">ENTRE HOSPITALIER DE FALAISE </w:t>
      </w:r>
    </w:p>
    <w:p>
      <w:pPr>
        <w:pStyle w:val="Normal"/>
        <w:ind w:firstLine="708"/>
        <w:rPr>
          <w:b/>
          <w:b/>
          <w:sz w:val="28"/>
          <w:szCs w:val="28"/>
        </w:rPr>
      </w:pPr>
      <w:r>
        <w:rPr>
          <w:b/>
          <w:sz w:val="28"/>
          <w:szCs w:val="28"/>
        </w:rPr>
        <w:t xml:space="preserve">            </w:t>
      </w:r>
      <w:r>
        <w:rPr>
          <w:b/>
          <w:sz w:val="28"/>
          <w:szCs w:val="28"/>
        </w:rPr>
        <w:t>PERMANENCE D’ACCES AUX SOINS DE SANTE (P.A.S.S)</w:t>
      </w:r>
    </w:p>
    <w:p>
      <w:pPr>
        <w:pStyle w:val="Normal"/>
        <w:rPr>
          <w:sz w:val="24"/>
          <w:szCs w:val="24"/>
        </w:rPr>
      </w:pPr>
      <w:r>
        <w:rPr>
          <w:sz w:val="24"/>
          <w:szCs w:val="24"/>
        </w:rPr>
        <w:t xml:space="preserve">                                       </w:t>
      </w:r>
      <w:r>
        <w:rPr>
          <w:sz w:val="24"/>
          <w:szCs w:val="24"/>
        </w:rPr>
        <w:t>Boulevard des bercagnes , BP59, 14 700 FALAISE</w:t>
      </w:r>
    </w:p>
    <w:p>
      <w:pPr>
        <w:pStyle w:val="Normal"/>
        <w:jc w:val="center"/>
        <w:rPr>
          <w:sz w:val="20"/>
          <w:szCs w:val="20"/>
        </w:rPr>
      </w:pPr>
      <w:r>
        <w:rPr>
          <w:sz w:val="20"/>
          <w:szCs w:val="20"/>
        </w:rPr>
        <w:t>Téléphone: 02 31 40 43 54</w:t>
      </w:r>
    </w:p>
    <w:p>
      <w:pPr>
        <w:pStyle w:val="Normal"/>
        <w:ind w:left="6372" w:firstLine="708"/>
        <w:jc w:val="center"/>
        <w:rPr>
          <w:sz w:val="20"/>
          <w:szCs w:val="20"/>
        </w:rPr>
      </w:pPr>
      <w:r>
        <w:rPr/>
        <w:drawing>
          <wp:anchor behindDoc="1" distT="0" distB="0" distL="0" distR="0" simplePos="0" locked="0" layoutInCell="0" allowOverlap="1" relativeHeight="5">
            <wp:simplePos x="0" y="0"/>
            <wp:positionH relativeFrom="column">
              <wp:posOffset>-671195</wp:posOffset>
            </wp:positionH>
            <wp:positionV relativeFrom="paragraph">
              <wp:posOffset>135255</wp:posOffset>
            </wp:positionV>
            <wp:extent cx="1348105" cy="1343025"/>
            <wp:effectExtent l="0" t="0" r="0" b="0"/>
            <wp:wrapNone/>
            <wp:docPr id="3" name="Image 3" descr="E:\Profils\j_beaussieux\AppData\Local\Microsoft\Windows\INetCache\Content.Word\télécharg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E:\Profils\j_beaussieux\AppData\Local\Microsoft\Windows\INetCache\Content.Word\téléchargement.jpg"/>
                    <pic:cNvPicPr>
                      <a:picLocks noChangeAspect="1" noChangeArrowheads="1"/>
                    </pic:cNvPicPr>
                  </pic:nvPicPr>
                  <pic:blipFill>
                    <a:blip r:embed="rId4"/>
                    <a:stretch>
                      <a:fillRect/>
                    </a:stretch>
                  </pic:blipFill>
                  <pic:spPr bwMode="auto">
                    <a:xfrm>
                      <a:off x="0" y="0"/>
                      <a:ext cx="1348105" cy="1343025"/>
                    </a:xfrm>
                    <a:prstGeom prst="rect">
                      <a:avLst/>
                    </a:prstGeom>
                  </pic:spPr>
                </pic:pic>
              </a:graphicData>
            </a:graphic>
          </wp:anchor>
        </w:drawing>
        <w:drawing>
          <wp:inline distT="0" distB="0" distL="0" distR="0">
            <wp:extent cx="2143125" cy="2143125"/>
            <wp:effectExtent l="0" t="0" r="0" b="0"/>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5"/>
                    <a:stretch>
                      <a:fillRect/>
                    </a:stretch>
                  </pic:blipFill>
                  <pic:spPr bwMode="auto">
                    <a:xfrm>
                      <a:off x="0" y="0"/>
                      <a:ext cx="2143125" cy="2143125"/>
                    </a:xfrm>
                    <a:prstGeom prst="rect">
                      <a:avLst/>
                    </a:prstGeom>
                  </pic:spPr>
                </pic:pic>
              </a:graphicData>
            </a:graphic>
          </wp:inline>
        </w:drawing>
      </w:r>
    </w:p>
    <w:p>
      <w:pPr>
        <w:pStyle w:val="Normal"/>
        <w:jc w:val="center"/>
        <w:rPr>
          <w:sz w:val="48"/>
          <w:szCs w:val="48"/>
        </w:rPr>
      </w:pPr>
      <w:r>
        <w:rPr>
          <w:sz w:val="48"/>
          <w:szCs w:val="48"/>
        </w:rPr>
        <mc:AlternateContent>
          <mc:Choice Requires="wps">
            <w:drawing>
              <wp:anchor behindDoc="0" distT="45720" distB="45720" distL="114300" distR="114300" simplePos="0" locked="0" layoutInCell="0" allowOverlap="1" relativeHeight="6" wp14:anchorId="10A7EA38">
                <wp:simplePos x="0" y="0"/>
                <wp:positionH relativeFrom="column">
                  <wp:posOffset>157480</wp:posOffset>
                </wp:positionH>
                <wp:positionV relativeFrom="paragraph">
                  <wp:posOffset>542290</wp:posOffset>
                </wp:positionV>
                <wp:extent cx="5791835" cy="2239010"/>
                <wp:effectExtent l="0" t="0" r="19050" b="28575"/>
                <wp:wrapSquare wrapText="bothSides"/>
                <wp:docPr id="5" name="Zone de texte 2"/>
                <a:graphic xmlns:a="http://schemas.openxmlformats.org/drawingml/2006/main">
                  <a:graphicData uri="http://schemas.microsoft.com/office/word/2010/wordprocessingShape">
                    <wps:wsp>
                      <wps:cNvSpPr/>
                      <wps:spPr>
                        <a:xfrm>
                          <a:off x="0" y="0"/>
                          <a:ext cx="5791320" cy="2238480"/>
                        </a:xfrm>
                        <a:prstGeom prst="rect">
                          <a:avLst/>
                        </a:prstGeom>
                        <a:solidFill>
                          <a:srgbClr val="ffffff"/>
                        </a:solidFill>
                        <a:ln w="9525">
                          <a:solidFill>
                            <a:srgbClr val="000000"/>
                          </a:solidFill>
                          <a:miter/>
                        </a:ln>
                      </wps:spPr>
                      <wps:style>
                        <a:lnRef idx="0"/>
                        <a:fillRef idx="0"/>
                        <a:effectRef idx="0"/>
                        <a:fontRef idx="minor"/>
                      </wps:style>
                      <wps:txbx>
                        <w:txbxContent>
                          <w:p>
                            <w:pPr>
                              <w:pStyle w:val="Contenudecadre"/>
                              <w:jc w:val="center"/>
                              <w:rPr>
                                <w:sz w:val="48"/>
                                <w:szCs w:val="48"/>
                              </w:rPr>
                            </w:pPr>
                            <w:r>
                              <w:rPr>
                                <w:sz w:val="48"/>
                                <w:szCs w:val="48"/>
                              </w:rPr>
                            </w:r>
                          </w:p>
                          <w:p>
                            <w:pPr>
                              <w:pStyle w:val="Contenudecadre"/>
                              <w:jc w:val="center"/>
                              <w:rPr>
                                <w:sz w:val="48"/>
                                <w:szCs w:val="48"/>
                              </w:rPr>
                            </w:pPr>
                            <w:r>
                              <w:rPr>
                                <w:sz w:val="48"/>
                                <w:szCs w:val="48"/>
                              </w:rPr>
                              <w:t xml:space="preserve">RAPPORT D’ACTIVITE DE LA P.A.S.S DU CENTRE HOSPITALIER DE FALAISE </w:t>
                            </w:r>
                          </w:p>
                          <w:p>
                            <w:pPr>
                              <w:pStyle w:val="Contenudecadre"/>
                              <w:jc w:val="center"/>
                              <w:rPr>
                                <w:sz w:val="48"/>
                                <w:szCs w:val="48"/>
                              </w:rPr>
                            </w:pPr>
                            <w:r>
                              <w:rPr>
                                <w:sz w:val="48"/>
                                <w:szCs w:val="48"/>
                              </w:rPr>
                              <w:t>Année 2024</w:t>
                            </w:r>
                          </w:p>
                          <w:p>
                            <w:pPr>
                              <w:pStyle w:val="Contenudecadre"/>
                              <w:spacing w:before="0" w:after="160"/>
                              <w:rPr/>
                            </w:pPr>
                            <w:r>
                              <w:rPr/>
                            </w:r>
                          </w:p>
                        </w:txbxContent>
                      </wps:txbx>
                      <wps:bodyPr>
                        <a:noAutofit/>
                      </wps:bodyPr>
                    </wps:wsp>
                  </a:graphicData>
                </a:graphic>
              </wp:anchor>
            </w:drawing>
          </mc:Choice>
          <mc:Fallback>
            <w:pict>
              <v:rect id="shape_0" ID="Zone de texte 2" fillcolor="white" stroked="t" style="position:absolute;margin-left:12.4pt;margin-top:42.7pt;width:455.95pt;height:176.2pt;mso-wrap-style:square;v-text-anchor:top" wp14:anchorId="10A7EA38">
                <v:fill o:detectmouseclick="t" type="solid" color2="black"/>
                <v:stroke color="black" weight="9360" joinstyle="miter" endcap="flat"/>
                <v:textbox>
                  <w:txbxContent>
                    <w:p>
                      <w:pPr>
                        <w:pStyle w:val="Contenudecadre"/>
                        <w:jc w:val="center"/>
                        <w:rPr>
                          <w:sz w:val="48"/>
                          <w:szCs w:val="48"/>
                        </w:rPr>
                      </w:pPr>
                      <w:r>
                        <w:rPr>
                          <w:sz w:val="48"/>
                          <w:szCs w:val="48"/>
                        </w:rPr>
                      </w:r>
                    </w:p>
                    <w:p>
                      <w:pPr>
                        <w:pStyle w:val="Contenudecadre"/>
                        <w:jc w:val="center"/>
                        <w:rPr>
                          <w:sz w:val="48"/>
                          <w:szCs w:val="48"/>
                        </w:rPr>
                      </w:pPr>
                      <w:r>
                        <w:rPr>
                          <w:sz w:val="48"/>
                          <w:szCs w:val="48"/>
                        </w:rPr>
                        <w:t xml:space="preserve">RAPPORT D’ACTIVITE DE LA P.A.S.S DU CENTRE HOSPITALIER DE FALAISE </w:t>
                      </w:r>
                    </w:p>
                    <w:p>
                      <w:pPr>
                        <w:pStyle w:val="Contenudecadre"/>
                        <w:jc w:val="center"/>
                        <w:rPr>
                          <w:sz w:val="48"/>
                          <w:szCs w:val="48"/>
                        </w:rPr>
                      </w:pPr>
                      <w:r>
                        <w:rPr>
                          <w:sz w:val="48"/>
                          <w:szCs w:val="48"/>
                        </w:rPr>
                        <w:t>Année 2024</w:t>
                      </w:r>
                    </w:p>
                    <w:p>
                      <w:pPr>
                        <w:pStyle w:val="Contenudecadre"/>
                        <w:spacing w:before="0" w:after="160"/>
                        <w:rPr/>
                      </w:pPr>
                      <w:r>
                        <w:rPr/>
                      </w:r>
                    </w:p>
                  </w:txbxContent>
                </v:textbox>
                <w10:wrap type="square"/>
              </v:rect>
            </w:pict>
          </mc:Fallback>
        </mc:AlternateContent>
      </w:r>
    </w:p>
    <w:p>
      <w:pPr>
        <w:pStyle w:val="Normal"/>
        <w:jc w:val="center"/>
        <w:rPr>
          <w:sz w:val="48"/>
          <w:szCs w:val="48"/>
        </w:rPr>
      </w:pPr>
      <w:r>
        <w:rPr>
          <w:sz w:val="48"/>
          <w:szCs w:val="48"/>
        </w:rPr>
      </w:r>
    </w:p>
    <w:p>
      <w:pPr>
        <w:pStyle w:val="Normal"/>
        <w:jc w:val="center"/>
        <w:rPr>
          <w:sz w:val="48"/>
          <w:szCs w:val="48"/>
        </w:rPr>
      </w:pPr>
      <w:r>
        <w:rPr>
          <w:sz w:val="48"/>
          <w:szCs w:val="48"/>
        </w:rPr>
      </w:r>
    </w:p>
    <w:p>
      <w:pPr>
        <w:pStyle w:val="Normal"/>
        <w:jc w:val="center"/>
        <w:rPr>
          <w:sz w:val="48"/>
          <w:szCs w:val="48"/>
        </w:rPr>
      </w:pPr>
      <w:r>
        <w:rPr>
          <w:sz w:val="48"/>
          <w:szCs w:val="48"/>
        </w:rPr>
      </w:r>
    </w:p>
    <w:p>
      <w:pPr>
        <w:pStyle w:val="Normal"/>
        <w:jc w:val="center"/>
        <w:rPr>
          <w:sz w:val="48"/>
          <w:szCs w:val="48"/>
        </w:rPr>
      </w:pPr>
      <w:r>
        <w:rPr>
          <w:sz w:val="48"/>
          <w:szCs w:val="48"/>
        </w:rPr>
      </w:r>
    </w:p>
    <w:p>
      <w:pPr>
        <w:pStyle w:val="Normal"/>
        <w:jc w:val="center"/>
        <w:rPr>
          <w:sz w:val="48"/>
          <w:szCs w:val="48"/>
        </w:rPr>
      </w:pPr>
      <w:r>
        <w:rPr>
          <w:sz w:val="48"/>
          <w:szCs w:val="48"/>
        </w:rPr>
      </w:r>
    </w:p>
    <w:p>
      <w:pPr>
        <w:pStyle w:val="Normal"/>
        <w:jc w:val="center"/>
        <w:rPr>
          <w:sz w:val="48"/>
          <w:szCs w:val="48"/>
        </w:rPr>
      </w:pPr>
      <w:r>
        <w:rPr>
          <w:sz w:val="48"/>
          <w:szCs w:val="48"/>
        </w:rPr>
      </w:r>
    </w:p>
    <w:p>
      <w:pPr>
        <w:pStyle w:val="Normal"/>
        <w:suppressAutoHyphens w:val="true"/>
        <w:jc w:val="center"/>
        <w:textAlignment w:val="baseline"/>
        <w:rPr>
          <w:rFonts w:ascii="Calibri" w:hAnsi="Calibri" w:eastAsia="SimSun" w:cs="Calibri"/>
          <w:kern w:val="2"/>
          <w:sz w:val="48"/>
          <w:szCs w:val="48"/>
        </w:rPr>
      </w:pPr>
      <w:r>
        <w:rPr>
          <w:rFonts w:eastAsia="SimSun" w:cs="Calibri"/>
          <w:kern w:val="2"/>
          <w:sz w:val="48"/>
          <w:szCs w:val="48"/>
        </w:rPr>
      </w:r>
    </w:p>
    <w:p>
      <w:pPr>
        <w:pStyle w:val="Normal"/>
        <w:suppressAutoHyphens w:val="true"/>
        <w:jc w:val="center"/>
        <w:textAlignment w:val="baseline"/>
        <w:rPr>
          <w:rFonts w:ascii="Calibri" w:hAnsi="Calibri" w:eastAsia="SimSun" w:cs="Calibri"/>
          <w:b/>
          <w:b/>
          <w:kern w:val="2"/>
          <w:sz w:val="28"/>
          <w:szCs w:val="28"/>
          <w:u w:val="single"/>
        </w:rPr>
      </w:pPr>
      <w:r>
        <w:rPr>
          <w:rFonts w:eastAsia="SimSun" w:cs="Calibri"/>
          <w:b/>
          <w:kern w:val="2"/>
          <w:sz w:val="28"/>
          <w:szCs w:val="28"/>
          <w:u w:val="single"/>
        </w:rPr>
      </w:r>
    </w:p>
    <w:p>
      <w:pPr>
        <w:pStyle w:val="Normal"/>
        <w:suppressAutoHyphens w:val="true"/>
        <w:jc w:val="center"/>
        <w:textAlignment w:val="baseline"/>
        <w:rPr>
          <w:rFonts w:ascii="Calibri" w:hAnsi="Calibri" w:eastAsia="SimSun" w:cs="Calibri"/>
          <w:b/>
          <w:b/>
          <w:kern w:val="2"/>
          <w:sz w:val="28"/>
          <w:szCs w:val="28"/>
          <w:u w:val="single"/>
        </w:rPr>
      </w:pPr>
      <w:r>
        <w:rPr>
          <w:rFonts w:eastAsia="SimSun" w:cs="Calibri"/>
          <w:b/>
          <w:kern w:val="2"/>
          <w:sz w:val="28"/>
          <w:szCs w:val="28"/>
          <w:u w:val="single"/>
        </w:rPr>
      </w:r>
    </w:p>
    <w:p>
      <w:pPr>
        <w:pStyle w:val="Normal"/>
        <w:suppressAutoHyphens w:val="true"/>
        <w:jc w:val="center"/>
        <w:textAlignment w:val="baseline"/>
        <w:rPr>
          <w:rFonts w:ascii="Calibri" w:hAnsi="Calibri" w:eastAsia="SimSun" w:cs="Calibri"/>
          <w:b/>
          <w:b/>
          <w:kern w:val="2"/>
          <w:sz w:val="28"/>
          <w:szCs w:val="28"/>
          <w:u w:val="single"/>
        </w:rPr>
      </w:pPr>
      <w:r>
        <w:rPr>
          <w:rFonts w:eastAsia="SimSun" w:cs="Calibri"/>
          <w:b/>
          <w:kern w:val="2"/>
          <w:sz w:val="28"/>
          <w:szCs w:val="28"/>
          <w:u w:val="single"/>
        </w:rPr>
      </w:r>
    </w:p>
    <w:p>
      <w:pPr>
        <w:pStyle w:val="Normal"/>
        <w:suppressAutoHyphens w:val="true"/>
        <w:jc w:val="center"/>
        <w:textAlignment w:val="baseline"/>
        <w:rPr>
          <w:rFonts w:ascii="Calibri" w:hAnsi="Calibri" w:eastAsia="SimSun" w:cs="Calibri"/>
          <w:b/>
          <w:b/>
          <w:kern w:val="2"/>
          <w:sz w:val="28"/>
          <w:szCs w:val="28"/>
          <w:u w:val="single"/>
        </w:rPr>
      </w:pPr>
      <w:r>
        <w:rPr>
          <w:rFonts w:eastAsia="SimSun" w:cs="Calibri"/>
          <w:b/>
          <w:kern w:val="2"/>
          <w:sz w:val="28"/>
          <w:szCs w:val="28"/>
          <w:u w:val="single"/>
        </w:rPr>
      </w:r>
    </w:p>
    <w:p>
      <w:pPr>
        <w:pStyle w:val="Normal"/>
        <w:suppressAutoHyphens w:val="true"/>
        <w:jc w:val="center"/>
        <w:textAlignment w:val="baseline"/>
        <w:rPr>
          <w:rFonts w:ascii="Calibri" w:hAnsi="Calibri" w:eastAsia="SimSun" w:cs="Calibri"/>
          <w:b/>
          <w:b/>
          <w:kern w:val="2"/>
          <w:sz w:val="28"/>
          <w:szCs w:val="28"/>
          <w:u w:val="single"/>
        </w:rPr>
      </w:pPr>
      <w:r>
        <w:rPr>
          <w:rFonts w:eastAsia="SimSun" w:cs="Calibri"/>
          <w:b/>
          <w:kern w:val="2"/>
          <w:sz w:val="28"/>
          <w:szCs w:val="28"/>
          <w:u w:val="single"/>
        </w:rPr>
        <w:t>PREAMBULE </w:t>
      </w:r>
    </w:p>
    <w:p>
      <w:pPr>
        <w:pStyle w:val="Normal"/>
        <w:suppressAutoHyphens w:val="true"/>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Les Permanences d’Accès aux Soins de Santé (P.A.S.S.) sont des dispositifs issus de la loi du 29 juillet 1998 de lutte contre les exclusions.</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Il est ainsi confié au service public hospitalier une mission nouvelle qui s’intègre dans les Plans Régionaux d’Accès à la Prévention et aux Soins (PRAPS).</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Cette mission consiste à accueillir des personnes en situation de précarité, à leur proposer une prise en charge médicale et sociale, et à mettre en place une continuité des soins avec le système de santé de droit commun ainsi que des relais pour un accompagnement social adapté.</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sdt>
      <w:sdtPr>
        <w:docPartObj>
          <w:docPartGallery w:val="Table of Contents"/>
          <w:docPartUnique w:val="true"/>
        </w:docPartObj>
      </w:sdtPr>
      <w:sdtContent>
        <w:p>
          <w:pPr>
            <w:pStyle w:val="TOCHeading"/>
            <w:rPr/>
          </w:pPr>
          <w:r>
            <w:rPr/>
            <w:t>Table des matières</w:t>
          </w:r>
        </w:p>
        <w:p>
          <w:pPr>
            <w:pStyle w:val="Tabledesmatiresniveau1"/>
            <w:rPr>
              <w:rFonts w:eastAsia="" w:eastAsiaTheme="minorEastAsia"/>
              <w:lang w:eastAsia="fr-FR"/>
            </w:rPr>
          </w:pPr>
          <w:r>
            <w:fldChar w:fldCharType="begin"/>
          </w:r>
          <w:r>
            <w:rPr>
              <w:webHidden/>
              <w:rStyle w:val="Sautdindex"/>
            </w:rPr>
            <w:instrText> TOC \z \o "1-3" \u \h</w:instrText>
          </w:r>
          <w:r>
            <w:rPr>
              <w:webHidden/>
              <w:rStyle w:val="Sautdindex"/>
            </w:rPr>
            <w:fldChar w:fldCharType="separate"/>
          </w:r>
          <w:hyperlink w:anchor="_Toc157101141">
            <w:r>
              <w:rPr>
                <w:webHidden/>
                <w:rStyle w:val="Sautdindex"/>
              </w:rPr>
              <w:t>Introduction</w:t>
            </w:r>
            <w:r>
              <w:rPr>
                <w:webHidden/>
              </w:rPr>
              <w:fldChar w:fldCharType="begin"/>
            </w:r>
            <w:r>
              <w:rPr>
                <w:webHidden/>
              </w:rPr>
              <w:instrText>PAGEREF _Toc157101141 \h</w:instrText>
            </w:r>
            <w:r>
              <w:rPr>
                <w:webHidden/>
              </w:rPr>
              <w:fldChar w:fldCharType="separate"/>
            </w:r>
            <w:r>
              <w:rPr>
                <w:rStyle w:val="Sautdindex"/>
                <w:vanish w:val="false"/>
              </w:rPr>
              <w:tab/>
              <w:t>4</w:t>
            </w:r>
            <w:r>
              <w:rPr>
                <w:webHidden/>
              </w:rPr>
              <w:fldChar w:fldCharType="end"/>
            </w:r>
          </w:hyperlink>
        </w:p>
        <w:p>
          <w:pPr>
            <w:pStyle w:val="Tabledesmatiresniveau1"/>
            <w:rPr>
              <w:rFonts w:eastAsia="" w:eastAsiaTheme="minorEastAsia"/>
              <w:lang w:eastAsia="fr-FR"/>
            </w:rPr>
          </w:pPr>
          <w:hyperlink w:anchor="_Toc157101142">
            <w:r>
              <w:rPr>
                <w:webHidden/>
                <w:rStyle w:val="Sautdindex"/>
              </w:rPr>
              <w:t>1. ORGANISATION</w:t>
            </w:r>
            <w:r>
              <w:rPr>
                <w:webHidden/>
              </w:rPr>
              <w:fldChar w:fldCharType="begin"/>
            </w:r>
            <w:r>
              <w:rPr>
                <w:webHidden/>
              </w:rPr>
              <w:instrText>PAGEREF _Toc157101142 \h</w:instrText>
            </w:r>
            <w:r>
              <w:rPr>
                <w:webHidden/>
              </w:rPr>
              <w:fldChar w:fldCharType="separate"/>
            </w:r>
            <w:r>
              <w:rPr>
                <w:rStyle w:val="Sautdindex"/>
                <w:vanish w:val="false"/>
              </w:rPr>
              <w:tab/>
              <w:t>4</w:t>
            </w:r>
            <w:r>
              <w:rPr>
                <w:webHidden/>
              </w:rPr>
              <w:fldChar w:fldCharType="end"/>
            </w:r>
          </w:hyperlink>
        </w:p>
        <w:p>
          <w:pPr>
            <w:pStyle w:val="Tabledesmatiresniveau1"/>
            <w:rPr>
              <w:rFonts w:eastAsia="" w:eastAsiaTheme="minorEastAsia"/>
              <w:lang w:eastAsia="fr-FR"/>
            </w:rPr>
          </w:pPr>
          <w:hyperlink w:anchor="_Toc157101143">
            <w:r>
              <w:rPr>
                <w:webHidden/>
                <w:rStyle w:val="Sautdindex"/>
              </w:rPr>
              <w:t>1.1</w:t>
            </w:r>
            <w:r>
              <w:rPr>
                <w:rStyle w:val="Sautdindex"/>
                <w:rFonts w:eastAsia="" w:eastAsiaTheme="minorEastAsia"/>
                <w:lang w:eastAsia="fr-FR"/>
              </w:rPr>
              <w:tab/>
            </w:r>
            <w:r>
              <w:rPr>
                <w:rStyle w:val="Sautdindex"/>
              </w:rPr>
              <w:t>Evolution dans la composition de l’équipe :</w:t>
            </w:r>
            <w:r>
              <w:rPr>
                <w:webHidden/>
              </w:rPr>
              <w:fldChar w:fldCharType="begin"/>
            </w:r>
            <w:r>
              <w:rPr>
                <w:webHidden/>
              </w:rPr>
              <w:instrText>PAGEREF _Toc157101143 \h</w:instrText>
            </w:r>
            <w:r>
              <w:rPr>
                <w:webHidden/>
              </w:rPr>
              <w:fldChar w:fldCharType="separate"/>
            </w:r>
            <w:r>
              <w:rPr>
                <w:rStyle w:val="Sautdindex"/>
                <w:vanish w:val="false"/>
              </w:rPr>
              <w:tab/>
              <w:t>4</w:t>
            </w:r>
            <w:r>
              <w:rPr>
                <w:webHidden/>
              </w:rPr>
              <w:fldChar w:fldCharType="end"/>
            </w:r>
          </w:hyperlink>
        </w:p>
        <w:p>
          <w:pPr>
            <w:pStyle w:val="Tabledesmatiresniveau1"/>
            <w:rPr>
              <w:rFonts w:eastAsia="" w:eastAsiaTheme="minorEastAsia"/>
              <w:lang w:eastAsia="fr-FR"/>
            </w:rPr>
          </w:pPr>
          <w:hyperlink w:anchor="_Toc157101144">
            <w:r>
              <w:rPr>
                <w:webHidden/>
                <w:rStyle w:val="Sautdindex"/>
              </w:rPr>
              <w:t>1.2 Un fonctionnement en évolution :</w:t>
            </w:r>
            <w:r>
              <w:rPr>
                <w:webHidden/>
              </w:rPr>
              <w:fldChar w:fldCharType="begin"/>
            </w:r>
            <w:r>
              <w:rPr>
                <w:webHidden/>
              </w:rPr>
              <w:instrText>PAGEREF _Toc157101144 \h</w:instrText>
            </w:r>
            <w:r>
              <w:rPr>
                <w:webHidden/>
              </w:rPr>
              <w:fldChar w:fldCharType="separate"/>
            </w:r>
            <w:r>
              <w:rPr>
                <w:rStyle w:val="Sautdindex"/>
                <w:vanish w:val="false"/>
              </w:rPr>
              <w:tab/>
              <w:t>5</w:t>
            </w:r>
            <w:r>
              <w:rPr>
                <w:webHidden/>
              </w:rPr>
              <w:fldChar w:fldCharType="end"/>
            </w:r>
          </w:hyperlink>
        </w:p>
        <w:p>
          <w:pPr>
            <w:pStyle w:val="Tabledesmatiresniveau1"/>
            <w:rPr>
              <w:rFonts w:eastAsia="" w:eastAsiaTheme="minorEastAsia"/>
              <w:lang w:eastAsia="fr-FR"/>
            </w:rPr>
          </w:pPr>
          <w:hyperlink w:anchor="_Toc157101145">
            <w:r>
              <w:rPr>
                <w:webHidden/>
                <w:rStyle w:val="Sautdindex"/>
              </w:rPr>
              <w:t>2. ACTIVITE (provisoire nov. 2024) DE L’ANNEE 2024</w:t>
            </w:r>
            <w:r>
              <w:rPr>
                <w:webHidden/>
              </w:rPr>
              <w:fldChar w:fldCharType="begin"/>
            </w:r>
            <w:r>
              <w:rPr>
                <w:webHidden/>
              </w:rPr>
              <w:instrText>PAGEREF _Toc157101145 \h</w:instrText>
            </w:r>
            <w:r>
              <w:rPr>
                <w:webHidden/>
              </w:rPr>
              <w:fldChar w:fldCharType="separate"/>
            </w:r>
            <w:r>
              <w:rPr>
                <w:rStyle w:val="Sautdindex"/>
                <w:vanish w:val="false"/>
              </w:rPr>
              <w:tab/>
              <w:t>5</w:t>
            </w:r>
            <w:r>
              <w:rPr>
                <w:webHidden/>
              </w:rPr>
              <w:fldChar w:fldCharType="end"/>
            </w:r>
          </w:hyperlink>
        </w:p>
        <w:p>
          <w:pPr>
            <w:pStyle w:val="Tabledesmatiresniveau1"/>
            <w:rPr>
              <w:rFonts w:eastAsia="" w:eastAsiaTheme="minorEastAsia"/>
              <w:lang w:eastAsia="fr-FR"/>
            </w:rPr>
          </w:pPr>
          <w:hyperlink w:anchor="_Toc157101146">
            <w:r>
              <w:rPr>
                <w:webHidden/>
                <w:rStyle w:val="Sautdindex"/>
              </w:rPr>
              <w:t>2.1 Files actives de l’année 2024</w:t>
            </w:r>
            <w:r>
              <w:rPr>
                <w:webHidden/>
              </w:rPr>
              <w:fldChar w:fldCharType="begin"/>
            </w:r>
            <w:r>
              <w:rPr>
                <w:webHidden/>
              </w:rPr>
              <w:instrText>PAGEREF _Toc157101146 \h</w:instrText>
            </w:r>
            <w:r>
              <w:rPr>
                <w:webHidden/>
              </w:rPr>
              <w:fldChar w:fldCharType="separate"/>
            </w:r>
            <w:r>
              <w:rPr>
                <w:rStyle w:val="Sautdindex"/>
                <w:vanish w:val="false"/>
              </w:rPr>
              <w:tab/>
              <w:t>5</w:t>
            </w:r>
            <w:r>
              <w:rPr>
                <w:webHidden/>
              </w:rPr>
              <w:fldChar w:fldCharType="end"/>
            </w:r>
          </w:hyperlink>
        </w:p>
        <w:p>
          <w:pPr>
            <w:pStyle w:val="Tabledesmatiresniveau1"/>
            <w:rPr>
              <w:rFonts w:eastAsia="" w:eastAsiaTheme="minorEastAsia"/>
              <w:lang w:eastAsia="fr-FR"/>
            </w:rPr>
          </w:pPr>
          <w:hyperlink w:anchor="_Toc157101147">
            <w:r>
              <w:rPr>
                <w:webHidden/>
                <w:rStyle w:val="Sautdindex"/>
              </w:rPr>
              <w:t>2.1.1. File active totale</w:t>
            </w:r>
            <w:r>
              <w:rPr>
                <w:webHidden/>
              </w:rPr>
              <w:fldChar w:fldCharType="begin"/>
            </w:r>
            <w:r>
              <w:rPr>
                <w:webHidden/>
              </w:rPr>
              <w:instrText>PAGEREF _Toc157101147 \h</w:instrText>
            </w:r>
            <w:r>
              <w:rPr>
                <w:webHidden/>
              </w:rPr>
              <w:fldChar w:fldCharType="separate"/>
            </w:r>
            <w:r>
              <w:rPr>
                <w:rStyle w:val="Sautdindex"/>
                <w:vanish w:val="false"/>
              </w:rPr>
              <w:tab/>
              <w:t>5</w:t>
            </w:r>
            <w:r>
              <w:rPr>
                <w:webHidden/>
              </w:rPr>
              <w:fldChar w:fldCharType="end"/>
            </w:r>
          </w:hyperlink>
        </w:p>
        <w:p>
          <w:pPr>
            <w:pStyle w:val="Tabledesmatiresniveau1"/>
            <w:rPr>
              <w:rFonts w:eastAsia="" w:eastAsiaTheme="minorEastAsia"/>
              <w:lang w:eastAsia="fr-FR"/>
            </w:rPr>
          </w:pPr>
          <w:hyperlink w:anchor="_Toc157101148">
            <w:r>
              <w:rPr>
                <w:webHidden/>
                <w:rStyle w:val="Sautdindex"/>
              </w:rPr>
              <w:t>2.2 Le profil des personnes accueillies</w:t>
            </w:r>
            <w:r>
              <w:rPr>
                <w:webHidden/>
              </w:rPr>
              <w:fldChar w:fldCharType="begin"/>
            </w:r>
            <w:r>
              <w:rPr>
                <w:webHidden/>
              </w:rPr>
              <w:instrText>PAGEREF _Toc157101148 \h</w:instrText>
            </w:r>
            <w:r>
              <w:rPr>
                <w:webHidden/>
              </w:rPr>
              <w:fldChar w:fldCharType="separate"/>
            </w:r>
            <w:r>
              <w:rPr>
                <w:rStyle w:val="Sautdindex"/>
                <w:vanish w:val="false"/>
              </w:rPr>
              <w:tab/>
              <w:t>5</w:t>
            </w:r>
            <w:r>
              <w:rPr>
                <w:webHidden/>
              </w:rPr>
              <w:fldChar w:fldCharType="end"/>
            </w:r>
          </w:hyperlink>
        </w:p>
        <w:p>
          <w:pPr>
            <w:pStyle w:val="Tabledesmatiresniveau1"/>
            <w:rPr>
              <w:rFonts w:eastAsia="" w:eastAsiaTheme="minorEastAsia"/>
              <w:lang w:eastAsia="fr-FR"/>
            </w:rPr>
          </w:pPr>
          <w:hyperlink w:anchor="_Toc157101149">
            <w:r>
              <w:rPr>
                <w:webHidden/>
                <w:rStyle w:val="Sautdindex"/>
              </w:rPr>
              <w:t>3. ANALYSE</w:t>
            </w:r>
            <w:r>
              <w:rPr>
                <w:webHidden/>
              </w:rPr>
              <w:fldChar w:fldCharType="begin"/>
            </w:r>
            <w:r>
              <w:rPr>
                <w:webHidden/>
              </w:rPr>
              <w:instrText>PAGEREF _Toc157101149 \h</w:instrText>
            </w:r>
            <w:r>
              <w:rPr>
                <w:webHidden/>
              </w:rPr>
              <w:fldChar w:fldCharType="separate"/>
            </w:r>
            <w:r>
              <w:rPr>
                <w:rStyle w:val="Sautdindex"/>
                <w:vanish w:val="false"/>
              </w:rPr>
              <w:tab/>
              <w:t>6</w:t>
            </w:r>
            <w:r>
              <w:rPr>
                <w:webHidden/>
              </w:rPr>
              <w:fldChar w:fldCharType="end"/>
            </w:r>
          </w:hyperlink>
        </w:p>
        <w:p>
          <w:pPr>
            <w:pStyle w:val="Tabledesmatiresniveau1"/>
            <w:rPr>
              <w:rFonts w:eastAsia="" w:eastAsiaTheme="minorEastAsia"/>
              <w:lang w:eastAsia="fr-FR"/>
            </w:rPr>
          </w:pPr>
          <w:hyperlink w:anchor="_Toc157101150">
            <w:r>
              <w:rPr>
                <w:webHidden/>
                <w:rStyle w:val="Sautdindex"/>
              </w:rPr>
              <w:t>3.1 Un fonctionnement modifié par le contexte de l’année</w:t>
            </w:r>
            <w:r>
              <w:rPr>
                <w:rStyle w:val="Sautdindex"/>
                <w:vanish w:val="false"/>
              </w:rPr>
              <w:tab/>
            </w:r>
            <w:r>
              <w:rPr>
                <w:webHidden/>
              </w:rPr>
              <w:fldChar w:fldCharType="begin"/>
            </w:r>
            <w:r>
              <w:rPr>
                <w:webHidden/>
              </w:rPr>
              <w:instrText>PAGEREF _Toc157101150 \h</w:instrText>
            </w:r>
            <w:r>
              <w:rPr>
                <w:webHidden/>
              </w:rPr>
              <w:fldChar w:fldCharType="separate"/>
            </w:r>
            <w:r>
              <w:rPr>
                <w:rStyle w:val="Sautdindex"/>
                <w:b w:val="false"/>
                <w:bCs/>
                <w:vanish w:val="false"/>
              </w:rPr>
              <w:t>Erreur ! Signet non défini.</w:t>
            </w:r>
            <w:r>
              <w:rPr>
                <w:webHidden/>
              </w:rPr>
              <w:fldChar w:fldCharType="end"/>
            </w:r>
          </w:hyperlink>
        </w:p>
        <w:p>
          <w:pPr>
            <w:pStyle w:val="Tabledesmatiresniveau1"/>
            <w:rPr>
              <w:rFonts w:eastAsia="" w:eastAsiaTheme="minorEastAsia"/>
              <w:lang w:eastAsia="fr-FR"/>
            </w:rPr>
          </w:pPr>
          <w:hyperlink w:anchor="_Toc157101151">
            <w:r>
              <w:rPr>
                <w:webHidden/>
                <w:rStyle w:val="Sautdindex"/>
              </w:rPr>
              <w:t>3.1.2 Evolution dans l’accueil des personnes en demande d’asile</w:t>
            </w:r>
            <w:r>
              <w:rPr>
                <w:webHidden/>
              </w:rPr>
              <w:fldChar w:fldCharType="begin"/>
            </w:r>
            <w:r>
              <w:rPr>
                <w:webHidden/>
              </w:rPr>
              <w:instrText>PAGEREF _Toc157101151 \h</w:instrText>
            </w:r>
            <w:r>
              <w:rPr>
                <w:webHidden/>
              </w:rPr>
              <w:fldChar w:fldCharType="separate"/>
            </w:r>
            <w:r>
              <w:rPr>
                <w:rStyle w:val="Sautdindex"/>
                <w:vanish w:val="false"/>
              </w:rPr>
              <w:tab/>
              <w:t>6</w:t>
            </w:r>
            <w:r>
              <w:rPr>
                <w:webHidden/>
              </w:rPr>
              <w:fldChar w:fldCharType="end"/>
            </w:r>
          </w:hyperlink>
        </w:p>
        <w:p>
          <w:pPr>
            <w:pStyle w:val="Tabledesmatiresniveau1"/>
            <w:rPr>
              <w:color w:val="auto"/>
              <w:u w:val="none"/>
            </w:rPr>
          </w:pPr>
          <w:r>
            <w:rPr>
              <w:color w:val="auto"/>
              <w:u w:val="none"/>
            </w:rPr>
            <w:t>3.1.3 Evolution du public accompagné……………………………………………………………………………………………7</w:t>
          </w:r>
        </w:p>
        <w:p>
          <w:pPr>
            <w:pStyle w:val="Tabledesmatiresniveau1"/>
            <w:rPr>
              <w:rFonts w:eastAsia="" w:eastAsiaTheme="minorEastAsia"/>
              <w:lang w:eastAsia="fr-FR"/>
            </w:rPr>
          </w:pPr>
          <w:hyperlink w:anchor="_Toc157101152">
            <w:r>
              <w:rPr>
                <w:webHidden/>
                <w:rStyle w:val="Sautdindex"/>
              </w:rPr>
              <w:t>3.2 Des freins extérieurs</w:t>
            </w:r>
            <w:r>
              <w:rPr>
                <w:rStyle w:val="Sautdindex"/>
                <w:vanish w:val="false"/>
              </w:rPr>
              <w:tab/>
            </w:r>
            <w:r>
              <w:rPr>
                <w:webHidden/>
              </w:rPr>
              <w:fldChar w:fldCharType="begin"/>
            </w:r>
            <w:r>
              <w:rPr>
                <w:webHidden/>
              </w:rPr>
              <w:instrText>PAGEREF _Toc157101152 \h</w:instrText>
            </w:r>
            <w:r>
              <w:rPr>
                <w:webHidden/>
              </w:rPr>
              <w:fldChar w:fldCharType="separate"/>
            </w:r>
            <w:r>
              <w:rPr>
                <w:rStyle w:val="Sautdindex"/>
                <w:b w:val="false"/>
                <w:bCs/>
                <w:vanish w:val="false"/>
              </w:rPr>
              <w:t>Erreur ! Signet non défini.</w:t>
            </w:r>
            <w:r>
              <w:rPr>
                <w:webHidden/>
              </w:rPr>
              <w:fldChar w:fldCharType="end"/>
            </w:r>
          </w:hyperlink>
        </w:p>
        <w:p>
          <w:pPr>
            <w:pStyle w:val="Tabledesmatiresniveau1"/>
            <w:rPr>
              <w:rFonts w:eastAsia="" w:eastAsiaTheme="minorEastAsia"/>
              <w:lang w:eastAsia="fr-FR"/>
            </w:rPr>
          </w:pPr>
          <w:hyperlink w:anchor="_Toc157101153">
            <w:r>
              <w:rPr>
                <w:webHidden/>
                <w:rStyle w:val="Sautdindex"/>
              </w:rPr>
              <w:t>4.  FAVORISER LE TRAVAIL EN RESEAU</w:t>
            </w:r>
            <w:r>
              <w:rPr>
                <w:webHidden/>
              </w:rPr>
              <w:fldChar w:fldCharType="begin"/>
            </w:r>
            <w:r>
              <w:rPr>
                <w:webHidden/>
              </w:rPr>
              <w:instrText>PAGEREF _Toc157101153 \h</w:instrText>
            </w:r>
            <w:r>
              <w:rPr>
                <w:webHidden/>
              </w:rPr>
              <w:fldChar w:fldCharType="separate"/>
            </w:r>
            <w:r>
              <w:rPr>
                <w:rStyle w:val="Sautdindex"/>
                <w:vanish w:val="false"/>
              </w:rPr>
              <w:tab/>
              <w:t>7</w:t>
            </w:r>
            <w:r>
              <w:rPr>
                <w:webHidden/>
              </w:rPr>
              <w:fldChar w:fldCharType="end"/>
            </w:r>
          </w:hyperlink>
        </w:p>
        <w:p>
          <w:pPr>
            <w:pStyle w:val="Tabledesmatiresniveau1"/>
            <w:rPr>
              <w:rFonts w:eastAsia="" w:eastAsiaTheme="minorEastAsia"/>
              <w:lang w:eastAsia="fr-FR"/>
            </w:rPr>
          </w:pPr>
          <w:hyperlink w:anchor="_Toc157101154">
            <w:r>
              <w:rPr>
                <w:webHidden/>
                <w:rStyle w:val="Sautdindex"/>
              </w:rPr>
              <w:t>4.1 S’inscrire dans le réseau institutionnel</w:t>
            </w:r>
            <w:r>
              <w:rPr>
                <w:webHidden/>
              </w:rPr>
              <w:fldChar w:fldCharType="begin"/>
            </w:r>
            <w:r>
              <w:rPr>
                <w:webHidden/>
              </w:rPr>
              <w:instrText>PAGEREF _Toc157101154 \h</w:instrText>
            </w:r>
            <w:r>
              <w:rPr>
                <w:webHidden/>
              </w:rPr>
              <w:fldChar w:fldCharType="separate"/>
            </w:r>
            <w:r>
              <w:rPr>
                <w:rStyle w:val="Sautdindex"/>
                <w:vanish w:val="false"/>
              </w:rPr>
              <w:tab/>
              <w:t>7</w:t>
            </w:r>
            <w:r>
              <w:rPr>
                <w:webHidden/>
              </w:rPr>
              <w:fldChar w:fldCharType="end"/>
            </w:r>
          </w:hyperlink>
        </w:p>
        <w:p>
          <w:pPr>
            <w:pStyle w:val="Tabledesmatiresniveau1"/>
            <w:rPr>
              <w:rFonts w:eastAsia="" w:eastAsiaTheme="minorEastAsia"/>
              <w:lang w:eastAsia="fr-FR"/>
            </w:rPr>
          </w:pPr>
          <w:hyperlink w:anchor="_Toc157101155">
            <w:r>
              <w:rPr>
                <w:webHidden/>
                <w:rStyle w:val="Sautdindex"/>
              </w:rPr>
              <w:t>4.2</w:t>
            </w:r>
            <w:r>
              <w:rPr>
                <w:rStyle w:val="Sautdindex"/>
                <w:rFonts w:eastAsia="" w:eastAsiaTheme="minorEastAsia"/>
                <w:lang w:eastAsia="fr-FR"/>
              </w:rPr>
              <w:tab/>
            </w:r>
            <w:r>
              <w:rPr>
                <w:rStyle w:val="Sautdindex"/>
              </w:rPr>
              <w:t>Consolider les liens avec les partenaires</w:t>
            </w:r>
            <w:r>
              <w:rPr>
                <w:webHidden/>
              </w:rPr>
              <w:fldChar w:fldCharType="begin"/>
            </w:r>
            <w:r>
              <w:rPr>
                <w:webHidden/>
              </w:rPr>
              <w:instrText>PAGEREF _Toc157101155 \h</w:instrText>
            </w:r>
            <w:r>
              <w:rPr>
                <w:webHidden/>
              </w:rPr>
              <w:fldChar w:fldCharType="separate"/>
            </w:r>
            <w:r>
              <w:rPr>
                <w:rStyle w:val="Sautdindex"/>
                <w:vanish w:val="false"/>
              </w:rPr>
              <w:tab/>
              <w:t>7</w:t>
            </w:r>
            <w:r>
              <w:rPr>
                <w:webHidden/>
              </w:rPr>
              <w:fldChar w:fldCharType="end"/>
            </w:r>
          </w:hyperlink>
        </w:p>
        <w:p>
          <w:pPr>
            <w:pStyle w:val="Tabledesmatiresniveau1"/>
            <w:rPr/>
          </w:pPr>
          <w:hyperlink w:anchor="_Toc157101156">
            <w:r>
              <w:rPr>
                <w:webHidden/>
                <w:rStyle w:val="Sautdindex"/>
              </w:rPr>
              <w:t>4.3</w:t>
            </w:r>
            <w:r>
              <w:rPr>
                <w:rStyle w:val="Sautdindex"/>
                <w:rFonts w:eastAsia="" w:eastAsiaTheme="minorEastAsia"/>
                <w:lang w:eastAsia="fr-FR"/>
              </w:rPr>
              <w:tab/>
            </w:r>
            <w:r>
              <w:rPr>
                <w:rStyle w:val="Sautdindex"/>
              </w:rPr>
              <w:t>« Aller Vers »</w:t>
            </w:r>
            <w:r>
              <w:rPr>
                <w:webHidden/>
              </w:rPr>
              <w:fldChar w:fldCharType="begin"/>
            </w:r>
            <w:r>
              <w:rPr>
                <w:webHidden/>
              </w:rPr>
              <w:instrText>PAGEREF _Toc157101156 \h</w:instrText>
            </w:r>
            <w:r>
              <w:rPr>
                <w:webHidden/>
              </w:rPr>
              <w:fldChar w:fldCharType="separate"/>
            </w:r>
            <w:r>
              <w:rPr>
                <w:rStyle w:val="Sautdindex"/>
                <w:vanish w:val="false"/>
              </w:rPr>
              <w:tab/>
              <w:t>8</w:t>
            </w:r>
            <w:r>
              <w:rPr>
                <w:webHidden/>
              </w:rPr>
              <w:fldChar w:fldCharType="end"/>
            </w:r>
          </w:hyperlink>
        </w:p>
        <w:p>
          <w:pPr>
            <w:pStyle w:val="Normal"/>
            <w:rPr>
              <w:b/>
              <w:b/>
            </w:rPr>
          </w:pPr>
          <w:r>
            <w:rPr>
              <w:b/>
            </w:rPr>
            <w:t>5. OBJECTIFS 2024………………………………………………………………………………………………………………………….9</w:t>
          </w:r>
        </w:p>
        <w:p>
          <w:pPr>
            <w:pStyle w:val="Normal"/>
            <w:rPr>
              <w:b/>
              <w:b/>
            </w:rPr>
          </w:pPr>
          <w:r>
            <w:rPr>
              <w:b/>
            </w:rPr>
            <w:t>6. PROJET 2025………………………………………………………………………………………………………………………………9</w:t>
          </w:r>
        </w:p>
        <w:p>
          <w:pPr>
            <w:pStyle w:val="Tabledesmatiresniveau1"/>
            <w:rPr>
              <w:rFonts w:eastAsia="" w:eastAsiaTheme="minorEastAsia"/>
              <w:lang w:eastAsia="fr-FR"/>
            </w:rPr>
          </w:pPr>
          <w:hyperlink w:anchor="_Toc157101157">
            <w:r>
              <w:rPr>
                <w:webHidden/>
                <w:rStyle w:val="Sautdindex"/>
              </w:rPr>
              <w:t>Conclusion</w:t>
            </w:r>
            <w:r>
              <w:rPr>
                <w:webHidden/>
              </w:rPr>
              <w:fldChar w:fldCharType="begin"/>
            </w:r>
            <w:r>
              <w:rPr>
                <w:webHidden/>
              </w:rPr>
              <w:instrText>PAGEREF _Toc157101157 \h</w:instrText>
            </w:r>
            <w:r>
              <w:rPr>
                <w:webHidden/>
              </w:rPr>
              <w:fldChar w:fldCharType="separate"/>
            </w:r>
            <w:r>
              <w:rPr>
                <w:rStyle w:val="Sautdindex"/>
                <w:vanish w:val="false"/>
              </w:rPr>
              <w:tab/>
              <w:t>10</w:t>
            </w:r>
            <w:r>
              <w:rPr>
                <w:webHidden/>
              </w:rPr>
              <w:fldChar w:fldCharType="end"/>
            </w:r>
          </w:hyperlink>
        </w:p>
        <w:p>
          <w:pPr>
            <w:pStyle w:val="Tabledesmatiresniveau1"/>
            <w:rPr>
              <w:rFonts w:eastAsia="" w:eastAsiaTheme="minorEastAsia"/>
              <w:lang w:eastAsia="fr-FR"/>
            </w:rPr>
          </w:pPr>
          <w:hyperlink w:anchor="_Toc157101158">
            <w:r>
              <w:rPr>
                <w:webHidden/>
                <w:rStyle w:val="Sautdindex"/>
              </w:rPr>
              <w:t>ANNEXE</w:t>
            </w:r>
            <w:r>
              <w:rPr>
                <w:webHidden/>
              </w:rPr>
              <w:fldChar w:fldCharType="begin"/>
            </w:r>
            <w:r>
              <w:rPr>
                <w:webHidden/>
              </w:rPr>
              <w:instrText>PAGEREF _Toc157101158 \h</w:instrText>
            </w:r>
            <w:r>
              <w:rPr>
                <w:webHidden/>
              </w:rPr>
              <w:fldChar w:fldCharType="separate"/>
            </w:r>
            <w:r>
              <w:rPr>
                <w:rStyle w:val="Sautdindex"/>
                <w:vanish w:val="false"/>
              </w:rPr>
              <w:tab/>
              <w:t>11</w:t>
            </w:r>
            <w:r>
              <w:rPr>
                <w:webHidden/>
              </w:rPr>
              <w:fldChar w:fldCharType="end"/>
            </w:r>
          </w:hyperlink>
        </w:p>
        <w:p>
          <w:pPr>
            <w:pStyle w:val="Tabledesmatiresniveau1"/>
            <w:rPr>
              <w:rFonts w:eastAsia="" w:eastAsiaTheme="minorEastAsia"/>
              <w:lang w:eastAsia="fr-FR"/>
            </w:rPr>
          </w:pPr>
          <w:hyperlink w:anchor="_Toc157101159">
            <w:r>
              <w:rPr>
                <w:webHidden/>
                <w:rStyle w:val="Sautdindex"/>
              </w:rPr>
              <w:t>Bilan financier 2024</w:t>
            </w:r>
            <w:r>
              <w:rPr>
                <w:webHidden/>
              </w:rPr>
              <w:fldChar w:fldCharType="begin"/>
            </w:r>
            <w:r>
              <w:rPr>
                <w:webHidden/>
              </w:rPr>
              <w:instrText>PAGEREF _Toc157101159 \h</w:instrText>
            </w:r>
            <w:r>
              <w:rPr>
                <w:webHidden/>
              </w:rPr>
              <w:fldChar w:fldCharType="separate"/>
            </w:r>
            <w:r>
              <w:rPr>
                <w:rStyle w:val="Sautdindex"/>
                <w:vanish w:val="false"/>
              </w:rPr>
              <w:tab/>
              <w:t>11</w:t>
            </w:r>
            <w:r>
              <w:rPr>
                <w:webHidden/>
              </w:rPr>
              <w:fldChar w:fldCharType="end"/>
            </w:r>
          </w:hyperlink>
        </w:p>
        <w:p>
          <w:pPr>
            <w:pStyle w:val="Normal"/>
            <w:rPr/>
          </w:pPr>
          <w:r>
            <w:rPr/>
          </w:r>
          <w:r>
            <w:rPr/>
            <w:fldChar w:fldCharType="end"/>
          </w:r>
        </w:p>
      </w:sdtContent>
    </w:sdt>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Titre1"/>
        <w:rPr>
          <w:rFonts w:eastAsia="SimSun"/>
          <w:b/>
          <w:b/>
          <w:u w:val="single"/>
        </w:rPr>
      </w:pPr>
      <w:bookmarkStart w:id="0" w:name="_Toc157101141"/>
      <w:r>
        <w:rPr>
          <w:rFonts w:eastAsia="SimSun"/>
          <w:b/>
          <w:u w:val="single"/>
        </w:rPr>
        <w:t>Introduction</w:t>
      </w:r>
      <w:bookmarkEnd w:id="0"/>
    </w:p>
    <w:p>
      <w:pPr>
        <w:pStyle w:val="Normal"/>
        <w:jc w:val="both"/>
        <w:rPr/>
      </w:pPr>
      <w:r>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La circulaire du 18 juin 2013 fixe des repères pour l’organisation et le fonctionnement des P.A.S.S.</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Il appartient à chaque établissement hospitalier de fournir des moyens humains et matériels pour mettre en place ces cellules d'accueil médical et social.</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 xml:space="preserve">La circulaire inscrit les P.A.S.S. dans le réseau des acteurs des secteurs sanitaire et social du territoire, intervenant pour la prévention et l'accompagnement des personnes en situation précaire. </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Comme chaque mission d’appui aux PASS hospitalière, celle de Falaise a son organisation et son fonctionnement propre.</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 xml:space="preserve">Si l’activité des missions d’appui au PASS se mesure à travers un bilan chiffré, les spécificités de chacune d’elles et de leur territoire apparaissent par l’analyse de ces données. </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 xml:space="preserve">Par ailleurs, évaluer l’activité de la mission d’appui au PASS pour l’année écoulée nécessite de porter un regard critique sur les difficultés qu’elle a rencontrées. </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A partir de ces constats et en accord avec l’ARS, la PASS a su faire évoluer son offre de soins depuis janvier afin de répondre à la feuille de route SEGUR MESURES 27 ; depuis mars 2024, la PASS est devenue officiellement Missions d’appui au PASS.</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Titre1"/>
        <w:numPr>
          <w:ilvl w:val="0"/>
          <w:numId w:val="6"/>
        </w:numPr>
        <w:jc w:val="both"/>
        <w:rPr>
          <w:rFonts w:eastAsia="SimSun"/>
          <w:b/>
          <w:b/>
          <w:u w:val="single"/>
        </w:rPr>
      </w:pPr>
      <w:bookmarkStart w:id="1" w:name="_Toc157101142"/>
      <w:r>
        <w:rPr>
          <w:rFonts w:eastAsia="SimSun"/>
          <w:b/>
          <w:u w:val="single"/>
        </w:rPr>
        <w:t>ORGANISATION</w:t>
      </w:r>
      <w:bookmarkEnd w:id="1"/>
    </w:p>
    <w:p>
      <w:pPr>
        <w:pStyle w:val="Normal"/>
        <w:jc w:val="both"/>
        <w:rPr/>
      </w:pPr>
      <w:r>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 xml:space="preserve">Dans son organisation institutionnelle, la mission d’appui aux PASS de Falaise trouve aujourd’hui sa place sur le territoire, les partenariats se dessinent et les parcours de soins se définissent. </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Le service est rattaché au Pôle activités transversales de l’établissement.</w:t>
      </w:r>
    </w:p>
    <w:p>
      <w:pPr>
        <w:pStyle w:val="Titre1"/>
        <w:numPr>
          <w:ilvl w:val="1"/>
          <w:numId w:val="3"/>
        </w:numPr>
        <w:jc w:val="both"/>
        <w:rPr>
          <w:rFonts w:eastAsia="SimSun"/>
          <w:b/>
          <w:b/>
          <w:u w:val="single"/>
        </w:rPr>
      </w:pPr>
      <w:bookmarkStart w:id="2" w:name="_Toc157101143"/>
      <w:r>
        <w:rPr>
          <w:rFonts w:eastAsia="SimSun"/>
          <w:b/>
          <w:u w:val="single"/>
        </w:rPr>
        <w:t>Evolution dans la composition de l’équipe :</w:t>
      </w:r>
      <w:bookmarkEnd w:id="2"/>
    </w:p>
    <w:p>
      <w:pPr>
        <w:pStyle w:val="Normal"/>
        <w:jc w:val="both"/>
        <w:rPr/>
      </w:pPr>
      <w:r>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 xml:space="preserve">L’équipe de la mission de la P.A.S.S compte 4 professionnels, avec une répartition des temps attribués inchangés par rapport aux années antérieures à l’exception du temps infirmier qui a été augmenté </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widowControl w:val="false"/>
        <w:numPr>
          <w:ilvl w:val="0"/>
          <w:numId w:val="1"/>
        </w:numPr>
        <w:suppressAutoHyphens w:val="true"/>
        <w:ind w:left="284" w:hanging="284"/>
        <w:jc w:val="both"/>
        <w:textAlignment w:val="baseline"/>
        <w:rPr>
          <w:rFonts w:ascii="Calibri" w:hAnsi="Calibri" w:eastAsia="SimSun" w:cs="Calibri"/>
          <w:kern w:val="2"/>
          <w:sz w:val="24"/>
          <w:szCs w:val="24"/>
        </w:rPr>
      </w:pPr>
      <w:r>
        <w:rPr>
          <w:rFonts w:eastAsia="SimSun" w:cs="Calibri"/>
          <w:kern w:val="2"/>
          <w:sz w:val="24"/>
          <w:szCs w:val="24"/>
        </w:rPr>
        <w:t>Un cadre de santé (10% ETP)</w:t>
      </w:r>
    </w:p>
    <w:p>
      <w:pPr>
        <w:pStyle w:val="Normal"/>
        <w:widowControl w:val="false"/>
        <w:numPr>
          <w:ilvl w:val="0"/>
          <w:numId w:val="1"/>
        </w:numPr>
        <w:suppressAutoHyphens w:val="true"/>
        <w:ind w:left="284" w:hanging="284"/>
        <w:jc w:val="both"/>
        <w:textAlignment w:val="baseline"/>
        <w:rPr>
          <w:rFonts w:ascii="Calibri" w:hAnsi="Calibri" w:eastAsia="SimSun" w:cs="Calibri"/>
          <w:kern w:val="2"/>
          <w:sz w:val="24"/>
          <w:szCs w:val="24"/>
        </w:rPr>
      </w:pPr>
      <w:r>
        <w:rPr>
          <w:rFonts w:eastAsia="SimSun" w:cs="Calibri"/>
          <w:kern w:val="2"/>
          <w:sz w:val="24"/>
          <w:szCs w:val="24"/>
        </w:rPr>
        <w:t xml:space="preserve">Deux infirmières (2 IDE à 20% ETP chacune) </w:t>
      </w:r>
    </w:p>
    <w:p>
      <w:pPr>
        <w:pStyle w:val="Normal"/>
        <w:widowControl w:val="false"/>
        <w:numPr>
          <w:ilvl w:val="0"/>
          <w:numId w:val="1"/>
        </w:numPr>
        <w:suppressAutoHyphens w:val="true"/>
        <w:ind w:left="284" w:hanging="284"/>
        <w:jc w:val="both"/>
        <w:textAlignment w:val="baseline"/>
        <w:rPr>
          <w:rFonts w:ascii="Calibri" w:hAnsi="Calibri" w:eastAsia="SimSun" w:cs="Calibri"/>
          <w:kern w:val="2"/>
          <w:sz w:val="24"/>
          <w:szCs w:val="24"/>
        </w:rPr>
      </w:pPr>
      <w:r>
        <w:rPr>
          <w:rFonts w:eastAsia="SimSun" w:cs="Calibri"/>
          <w:kern w:val="2"/>
          <w:sz w:val="24"/>
          <w:szCs w:val="24"/>
        </w:rPr>
        <w:t>1 assistante sociale (anciennement à 50% et passé à 80% à compter du 7/11/24</w:t>
      </w:r>
    </w:p>
    <w:p>
      <w:pPr>
        <w:pStyle w:val="Normal"/>
        <w:widowControl w:val="false"/>
        <w:suppressAutoHyphens w:val="true"/>
        <w:ind w:left="360" w:hanging="0"/>
        <w:jc w:val="both"/>
        <w:textAlignment w:val="baseline"/>
        <w:rPr>
          <w:rFonts w:ascii="Calibri" w:hAnsi="Calibri" w:eastAsia="SimSun" w:cs="Calibri"/>
          <w:kern w:val="2"/>
          <w:sz w:val="24"/>
          <w:szCs w:val="24"/>
        </w:rPr>
      </w:pPr>
      <w:r>
        <w:rPr>
          <w:rFonts w:eastAsia="SimSun" w:cs="Calibri"/>
          <w:kern w:val="2"/>
          <w:sz w:val="24"/>
          <w:szCs w:val="24"/>
        </w:rPr>
        <w:t xml:space="preserve">Conformément à la demande formulée lors du CPOM 2023 </w:t>
      </w:r>
    </w:p>
    <w:p>
      <w:pPr>
        <w:pStyle w:val="Normal"/>
        <w:widowControl w:val="false"/>
        <w:suppressAutoHyphens w:val="true"/>
        <w:ind w:left="360" w:hanging="0"/>
        <w:jc w:val="both"/>
        <w:textAlignment w:val="baseline"/>
        <w:rPr>
          <w:rFonts w:ascii="Calibri" w:hAnsi="Calibri" w:eastAsia="SimSun" w:cs="Tahoma"/>
          <w:kern w:val="2"/>
        </w:rPr>
      </w:pPr>
      <w:r>
        <w:rPr>
          <w:rFonts w:eastAsia="SimSun" w:cs="Calibri"/>
          <w:kern w:val="2"/>
          <w:sz w:val="24"/>
          <w:szCs w:val="24"/>
        </w:rPr>
        <w:t>-Une secrétaire (50%</w:t>
      </w:r>
      <w:r>
        <w:rPr>
          <w:rFonts w:eastAsia="SimSun" w:cs="Calibri"/>
          <w:kern w:val="2"/>
        </w:rPr>
        <w:t xml:space="preserve"> ETP) jusqu’au 7/11/2024 puis suppression du poste en lien avec les compétences fixées par le CPOM pour les mission d’appui au PASS.</w:t>
      </w:r>
    </w:p>
    <w:p>
      <w:pPr>
        <w:pStyle w:val="Normal"/>
        <w:widowControl w:val="false"/>
        <w:suppressAutoHyphens w:val="true"/>
        <w:ind w:left="284" w:hanging="0"/>
        <w:jc w:val="both"/>
        <w:textAlignment w:val="baseline"/>
        <w:rPr>
          <w:rFonts w:ascii="Calibri" w:hAnsi="Calibri" w:eastAsia="SimSun" w:cs="Tahoma"/>
          <w:kern w:val="2"/>
        </w:rPr>
      </w:pPr>
      <w:r>
        <w:rPr>
          <w:rFonts w:eastAsia="SimSun" w:cs="Tahoma"/>
          <w:kern w:val="2"/>
        </w:rPr>
      </w:r>
    </w:p>
    <w:p>
      <w:pPr>
        <w:pStyle w:val="Titre1"/>
        <w:jc w:val="both"/>
        <w:rPr>
          <w:rFonts w:eastAsia="SimSun"/>
          <w:b/>
          <w:b/>
          <w:u w:val="single"/>
        </w:rPr>
      </w:pPr>
      <w:bookmarkStart w:id="3" w:name="_Toc157101144"/>
      <w:r>
        <w:rPr>
          <w:rFonts w:eastAsia="SimSun"/>
          <w:b/>
        </w:rPr>
        <w:t xml:space="preserve">1.2 </w:t>
      </w:r>
      <w:r>
        <w:rPr>
          <w:rFonts w:eastAsia="SimSun"/>
          <w:b/>
          <w:u w:val="single"/>
        </w:rPr>
        <w:t>Un fonctionnement en évolution :</w:t>
      </w:r>
      <w:bookmarkEnd w:id="3"/>
    </w:p>
    <w:p>
      <w:pPr>
        <w:pStyle w:val="Normal"/>
        <w:jc w:val="both"/>
        <w:rPr/>
      </w:pPr>
      <w:r>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Sur le terrain la coopération a dû être redéfinie notamment avec la PASS de la Miséricorde.</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L’application de la mesure 27 du Ségur de la santé débutée au dernier trimestre 2022 est effectives même si quelques contraintes ont impacté certains lieux d’interventions</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 xml:space="preserve">Le partenariat local est pérennisé avec de multiples structures. La téléconsultation a pu continuer mais toujours utilisés à la marge et peu développé </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 xml:space="preserve">L’organisation en local est maintenue : Les lundis (de 14h à 16h30) sont dédiés aux consultations en binôme, rendez-vous et accompagnements extérieurs. De plus, l’équipe essaie de s’adapter aux besoins des personnes accueillies et aux demandes des partenaires sollicitant la PASS peu importe le jour du lundi au vendredi. </w:t>
      </w:r>
    </w:p>
    <w:p>
      <w:pPr>
        <w:pStyle w:val="Titre1"/>
        <w:jc w:val="both"/>
        <w:rPr>
          <w:rFonts w:eastAsia="SimSun"/>
          <w:b/>
          <w:b/>
          <w:u w:val="single"/>
        </w:rPr>
      </w:pPr>
      <w:bookmarkStart w:id="4" w:name="_Toc157101145"/>
      <w:r>
        <w:rPr>
          <w:rFonts w:eastAsia="SimSun"/>
          <w:b/>
          <w:u w:val="single"/>
        </w:rPr>
        <w:t>2. ACTIVITE DE L’ANNEE 202</w:t>
      </w:r>
      <w:bookmarkEnd w:id="4"/>
      <w:r>
        <w:rPr>
          <w:rFonts w:eastAsia="SimSun"/>
          <w:b/>
          <w:u w:val="single"/>
        </w:rPr>
        <w:t>4</w:t>
      </w:r>
    </w:p>
    <w:p>
      <w:pPr>
        <w:pStyle w:val="Normal"/>
        <w:jc w:val="both"/>
        <w:rPr/>
      </w:pPr>
      <w:r>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 xml:space="preserve">Le bilan chiffré de l’activité de la PASS permet de suivre l’évolution du fonctionnement de la mission d’appui au PASS et des caractéristiques du public qu’elle accueille. </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Titre1"/>
        <w:jc w:val="both"/>
        <w:rPr>
          <w:rFonts w:eastAsia="SimSun"/>
          <w:b/>
          <w:b/>
        </w:rPr>
      </w:pPr>
      <w:bookmarkStart w:id="5" w:name="_Toc157101146"/>
      <w:r>
        <w:rPr>
          <w:rFonts w:eastAsia="SimSun"/>
          <w:b/>
        </w:rPr>
        <w:t xml:space="preserve">2.1 </w:t>
      </w:r>
      <w:r>
        <w:rPr>
          <w:rFonts w:eastAsia="SimSun"/>
          <w:b/>
          <w:u w:val="single"/>
        </w:rPr>
        <w:t>Files actives de l’année 202</w:t>
      </w:r>
      <w:bookmarkEnd w:id="5"/>
      <w:r>
        <w:rPr>
          <w:rFonts w:eastAsia="SimSun"/>
          <w:b/>
          <w:u w:val="single"/>
        </w:rPr>
        <w:t>4</w:t>
      </w:r>
    </w:p>
    <w:p>
      <w:pPr>
        <w:pStyle w:val="Titre1"/>
        <w:jc w:val="both"/>
        <w:rPr>
          <w:rFonts w:eastAsia="SimSun"/>
          <w:b/>
          <w:b/>
        </w:rPr>
      </w:pPr>
      <w:bookmarkStart w:id="6" w:name="_Toc157101147"/>
      <w:r>
        <w:rPr>
          <w:rFonts w:eastAsia="SimSun"/>
          <w:b/>
        </w:rPr>
        <w:t xml:space="preserve">2.1.1. </w:t>
      </w:r>
      <w:r>
        <w:rPr>
          <w:rFonts w:eastAsia="SimSun"/>
          <w:b/>
          <w:u w:val="single"/>
        </w:rPr>
        <w:t>File active totale</w:t>
      </w:r>
      <w:bookmarkEnd w:id="6"/>
      <w:r>
        <w:rPr>
          <w:rFonts w:eastAsia="SimSun"/>
          <w:b/>
        </w:rPr>
        <w:t> </w:t>
        <w:tab/>
      </w:r>
    </w:p>
    <w:p>
      <w:pPr>
        <w:pStyle w:val="Normal"/>
        <w:jc w:val="both"/>
        <w:rPr/>
      </w:pPr>
      <w:r>
        <w:rPr/>
      </w:r>
    </w:p>
    <w:p>
      <w:pPr>
        <w:pStyle w:val="Normal"/>
        <w:widowControl w:val="false"/>
        <w:suppressAutoHyphens w:val="true"/>
        <w:jc w:val="both"/>
        <w:textAlignment w:val="baseline"/>
        <w:rPr>
          <w:rFonts w:ascii="Calibri" w:hAnsi="Calibri" w:eastAsia="SimSun" w:cs="Calibri"/>
          <w:kern w:val="2"/>
          <w:sz w:val="24"/>
          <w:szCs w:val="24"/>
        </w:rPr>
      </w:pPr>
      <w:r>
        <w:rPr>
          <w:rFonts w:eastAsia="SimSun" w:cs="Calibri"/>
          <w:kern w:val="2"/>
          <w:sz w:val="24"/>
          <w:szCs w:val="24"/>
        </w:rPr>
        <w:t xml:space="preserve">En 2024, 202 personnes ont été pris en charge dans le cadre de la mission d’appui aux PASS. </w:t>
      </w:r>
    </w:p>
    <w:p>
      <w:pPr>
        <w:pStyle w:val="Normal"/>
        <w:widowControl w:val="false"/>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Titre1"/>
        <w:jc w:val="both"/>
        <w:rPr>
          <w:rFonts w:eastAsia="SimSun"/>
          <w:b/>
          <w:b/>
        </w:rPr>
      </w:pPr>
      <w:bookmarkStart w:id="7" w:name="_Toc157101148"/>
      <w:r>
        <w:rPr>
          <w:rFonts w:eastAsia="SimSun"/>
          <w:b/>
        </w:rPr>
        <w:t xml:space="preserve">2.2 </w:t>
      </w:r>
      <w:r>
        <w:rPr>
          <w:rFonts w:eastAsia="SimSun"/>
          <w:b/>
          <w:u w:val="single"/>
        </w:rPr>
        <w:t>Le profil des personnes accueillies</w:t>
      </w:r>
      <w:bookmarkEnd w:id="7"/>
      <w:r>
        <w:rPr>
          <w:rFonts w:eastAsia="SimSun"/>
          <w:b/>
        </w:rPr>
        <w:t> </w:t>
      </w:r>
    </w:p>
    <w:p>
      <w:pPr>
        <w:pStyle w:val="Normal"/>
        <w:jc w:val="both"/>
        <w:rPr/>
      </w:pPr>
      <w:r>
        <w:rPr/>
      </w:r>
    </w:p>
    <w:p>
      <w:pPr>
        <w:pStyle w:val="Normal"/>
        <w:widowControl w:val="false"/>
        <w:suppressAutoHyphens w:val="true"/>
        <w:jc w:val="both"/>
        <w:textAlignment w:val="baseline"/>
        <w:rPr>
          <w:rFonts w:ascii="Calibri" w:hAnsi="Calibri" w:eastAsia="SimSun" w:cs="Calibri"/>
          <w:kern w:val="2"/>
          <w:sz w:val="24"/>
          <w:szCs w:val="24"/>
        </w:rPr>
      </w:pPr>
      <w:r>
        <w:rPr>
          <w:rFonts w:eastAsia="SimSun" w:cs="Calibri"/>
          <w:kern w:val="2"/>
          <w:sz w:val="24"/>
          <w:szCs w:val="24"/>
        </w:rPr>
        <w:t xml:space="preserve">Le bilan chiffré de la PASS permet de repérer les problématiques principales des personnes rencontrées, </w:t>
      </w:r>
    </w:p>
    <w:p>
      <w:pPr>
        <w:pStyle w:val="ListParagraph"/>
        <w:widowControl w:val="false"/>
        <w:numPr>
          <w:ilvl w:val="0"/>
          <w:numId w:val="5"/>
        </w:numPr>
        <w:suppressAutoHyphens w:val="true"/>
        <w:jc w:val="both"/>
        <w:textAlignment w:val="baseline"/>
        <w:rPr>
          <w:rFonts w:ascii="Calibri" w:hAnsi="Calibri" w:eastAsia="SimSun" w:cs="Calibri"/>
          <w:b/>
          <w:b/>
          <w:kern w:val="2"/>
          <w:sz w:val="24"/>
          <w:szCs w:val="24"/>
        </w:rPr>
      </w:pPr>
      <w:r>
        <w:rPr>
          <w:rFonts w:eastAsia="SimSun" w:cs="Calibri"/>
          <w:b/>
          <w:kern w:val="2"/>
          <w:sz w:val="24"/>
          <w:szCs w:val="24"/>
        </w:rPr>
        <w:t>Répartitions hommes /femmes</w:t>
      </w:r>
    </w:p>
    <w:p>
      <w:pPr>
        <w:pStyle w:val="Normal"/>
        <w:widowControl w:val="false"/>
        <w:suppressAutoHyphens w:val="true"/>
        <w:jc w:val="both"/>
        <w:textAlignment w:val="baseline"/>
        <w:rPr>
          <w:rFonts w:ascii="Calibri" w:hAnsi="Calibri" w:eastAsia="SimSun" w:cs="Calibri"/>
          <w:kern w:val="2"/>
          <w:sz w:val="24"/>
          <w:szCs w:val="24"/>
        </w:rPr>
      </w:pPr>
      <w:r>
        <w:rPr>
          <w:rFonts w:eastAsia="SimSun" w:cs="Calibri"/>
          <w:kern w:val="2"/>
          <w:sz w:val="24"/>
          <w:szCs w:val="24"/>
        </w:rPr>
        <w:t xml:space="preserve">105 hommes et 97 de femmes (comprenant 187 nouvelles personnes suivies) pour une file active globale de 202 personnes. </w:t>
      </w:r>
    </w:p>
    <w:p>
      <w:pPr>
        <w:pStyle w:val="ListParagraph"/>
        <w:widowControl w:val="false"/>
        <w:numPr>
          <w:ilvl w:val="0"/>
          <w:numId w:val="4"/>
        </w:numPr>
        <w:suppressAutoHyphens w:val="true"/>
        <w:jc w:val="both"/>
        <w:textAlignment w:val="baseline"/>
        <w:rPr>
          <w:rFonts w:ascii="Calibri" w:hAnsi="Calibri" w:eastAsia="SimSun" w:cs="Calibri"/>
          <w:b/>
          <w:b/>
          <w:i/>
          <w:i/>
          <w:kern w:val="2"/>
          <w:sz w:val="24"/>
          <w:szCs w:val="24"/>
        </w:rPr>
      </w:pPr>
      <w:r>
        <w:rPr>
          <w:rFonts w:eastAsia="SimSun" w:cs="Calibri"/>
          <w:b/>
          <w:kern w:val="2"/>
          <w:sz w:val="24"/>
          <w:szCs w:val="24"/>
        </w:rPr>
        <w:t xml:space="preserve">Répartitions par tranches d’âge : </w:t>
      </w:r>
    </w:p>
    <w:p>
      <w:pPr>
        <w:pStyle w:val="Normal"/>
        <w:widowControl w:val="false"/>
        <w:suppressAutoHyphens w:val="true"/>
        <w:jc w:val="both"/>
        <w:textAlignment w:val="baseline"/>
        <w:rPr>
          <w:rFonts w:ascii="Calibri" w:hAnsi="Calibri" w:eastAsia="SimSun" w:cs="Calibri"/>
          <w:kern w:val="2"/>
          <w:sz w:val="24"/>
          <w:szCs w:val="24"/>
        </w:rPr>
      </w:pPr>
      <w:r>
        <w:rPr>
          <w:rFonts w:eastAsia="SimSun" w:cs="Calibri"/>
          <w:kern w:val="2"/>
          <w:sz w:val="24"/>
          <w:szCs w:val="24"/>
        </w:rPr>
        <w:t>-14 enfants de 0 à 6 (pour délivrance de vaccination, colis alimentaire et accès aux droits …)</w:t>
      </w:r>
    </w:p>
    <w:p>
      <w:pPr>
        <w:pStyle w:val="Normal"/>
        <w:widowControl w:val="false"/>
        <w:suppressAutoHyphens w:val="true"/>
        <w:jc w:val="both"/>
        <w:textAlignment w:val="baseline"/>
        <w:rPr>
          <w:rFonts w:ascii="Calibri" w:hAnsi="Calibri" w:eastAsia="SimSun" w:cs="Calibri"/>
          <w:kern w:val="2"/>
          <w:sz w:val="24"/>
          <w:szCs w:val="24"/>
        </w:rPr>
      </w:pPr>
      <w:r>
        <w:rPr>
          <w:rFonts w:eastAsia="SimSun" w:cs="Calibri"/>
          <w:kern w:val="2"/>
          <w:sz w:val="24"/>
          <w:szCs w:val="24"/>
        </w:rPr>
        <w:t>-7 à 17 ans : 21</w:t>
      </w:r>
    </w:p>
    <w:p>
      <w:pPr>
        <w:pStyle w:val="Normal"/>
        <w:widowControl w:val="false"/>
        <w:suppressAutoHyphens w:val="true"/>
        <w:jc w:val="both"/>
        <w:textAlignment w:val="baseline"/>
        <w:rPr>
          <w:rFonts w:ascii="Calibri" w:hAnsi="Calibri" w:eastAsia="SimSun" w:cs="Calibri"/>
          <w:kern w:val="2"/>
          <w:sz w:val="24"/>
          <w:szCs w:val="24"/>
        </w:rPr>
      </w:pPr>
      <w:r>
        <w:rPr>
          <w:rFonts w:eastAsia="SimSun" w:cs="Calibri"/>
          <w:kern w:val="2"/>
          <w:sz w:val="24"/>
          <w:szCs w:val="24"/>
        </w:rPr>
        <w:t>-18-25 ans : 18</w:t>
      </w:r>
    </w:p>
    <w:p>
      <w:pPr>
        <w:pStyle w:val="Normal"/>
        <w:widowControl w:val="false"/>
        <w:suppressAutoHyphens w:val="true"/>
        <w:jc w:val="both"/>
        <w:textAlignment w:val="baseline"/>
        <w:rPr>
          <w:rFonts w:ascii="Calibri" w:hAnsi="Calibri" w:eastAsia="SimSun" w:cs="Calibri"/>
          <w:i/>
          <w:i/>
          <w:kern w:val="2"/>
          <w:sz w:val="24"/>
          <w:szCs w:val="24"/>
        </w:rPr>
      </w:pPr>
      <w:r>
        <w:rPr>
          <w:rFonts w:eastAsia="SimSun" w:cs="Calibri"/>
          <w:i/>
          <w:kern w:val="2"/>
          <w:sz w:val="24"/>
          <w:szCs w:val="24"/>
        </w:rPr>
        <w:t>-26-35 : 25</w:t>
      </w:r>
    </w:p>
    <w:p>
      <w:pPr>
        <w:pStyle w:val="Normal"/>
        <w:widowControl w:val="false"/>
        <w:suppressAutoHyphens w:val="true"/>
        <w:jc w:val="both"/>
        <w:textAlignment w:val="baseline"/>
        <w:rPr>
          <w:rFonts w:ascii="Calibri" w:hAnsi="Calibri" w:eastAsia="SimSun" w:cs="Calibri"/>
          <w:i/>
          <w:i/>
          <w:kern w:val="2"/>
          <w:sz w:val="24"/>
          <w:szCs w:val="24"/>
        </w:rPr>
      </w:pPr>
      <w:r>
        <w:rPr>
          <w:rFonts w:eastAsia="SimSun" w:cs="Calibri"/>
          <w:i/>
          <w:kern w:val="2"/>
          <w:sz w:val="24"/>
          <w:szCs w:val="24"/>
        </w:rPr>
        <w:t>-36 à 45 : 22</w:t>
      </w:r>
    </w:p>
    <w:p>
      <w:pPr>
        <w:pStyle w:val="Normal"/>
        <w:widowControl w:val="false"/>
        <w:suppressAutoHyphens w:val="true"/>
        <w:jc w:val="both"/>
        <w:textAlignment w:val="baseline"/>
        <w:rPr>
          <w:rFonts w:ascii="Calibri" w:hAnsi="Calibri" w:eastAsia="SimSun" w:cs="Calibri"/>
          <w:i/>
          <w:i/>
          <w:kern w:val="2"/>
          <w:sz w:val="24"/>
          <w:szCs w:val="24"/>
        </w:rPr>
      </w:pPr>
      <w:r>
        <w:rPr>
          <w:rFonts w:eastAsia="SimSun" w:cs="Calibri"/>
          <w:i/>
          <w:kern w:val="2"/>
          <w:sz w:val="24"/>
          <w:szCs w:val="24"/>
        </w:rPr>
        <w:t>-46-55 : 39</w:t>
      </w:r>
    </w:p>
    <w:p>
      <w:pPr>
        <w:pStyle w:val="Normal"/>
        <w:widowControl w:val="false"/>
        <w:suppressAutoHyphens w:val="true"/>
        <w:jc w:val="both"/>
        <w:textAlignment w:val="baseline"/>
        <w:rPr>
          <w:rFonts w:ascii="Calibri" w:hAnsi="Calibri" w:eastAsia="SimSun" w:cs="Calibri"/>
          <w:i/>
          <w:i/>
          <w:kern w:val="2"/>
          <w:sz w:val="24"/>
          <w:szCs w:val="24"/>
        </w:rPr>
      </w:pPr>
      <w:r>
        <w:rPr>
          <w:rFonts w:eastAsia="SimSun" w:cs="Calibri"/>
          <w:i/>
          <w:kern w:val="2"/>
          <w:sz w:val="24"/>
          <w:szCs w:val="24"/>
        </w:rPr>
        <w:t>-56 à 65ans :  26</w:t>
      </w:r>
    </w:p>
    <w:p>
      <w:pPr>
        <w:pStyle w:val="Normal"/>
        <w:widowControl w:val="false"/>
        <w:suppressAutoHyphens w:val="true"/>
        <w:jc w:val="both"/>
        <w:textAlignment w:val="baseline"/>
        <w:rPr>
          <w:rFonts w:ascii="Calibri" w:hAnsi="Calibri" w:eastAsia="SimSun" w:cs="Calibri"/>
          <w:i/>
          <w:i/>
          <w:kern w:val="2"/>
          <w:sz w:val="24"/>
          <w:szCs w:val="24"/>
        </w:rPr>
      </w:pPr>
      <w:r>
        <w:rPr>
          <w:rFonts w:eastAsia="SimSun" w:cs="Calibri"/>
          <w:i/>
          <w:kern w:val="2"/>
          <w:sz w:val="24"/>
          <w:szCs w:val="24"/>
        </w:rPr>
        <w:t>-plus de 66 : 37</w:t>
      </w:r>
    </w:p>
    <w:p>
      <w:pPr>
        <w:pStyle w:val="Normal"/>
        <w:widowControl w:val="false"/>
        <w:suppressAutoHyphens w:val="true"/>
        <w:jc w:val="both"/>
        <w:textAlignment w:val="baseline"/>
        <w:rPr>
          <w:rFonts w:ascii="Calibri" w:hAnsi="Calibri" w:eastAsia="SimSun" w:cs="Calibri"/>
          <w:i/>
          <w:i/>
          <w:kern w:val="2"/>
          <w:sz w:val="24"/>
          <w:szCs w:val="24"/>
        </w:rPr>
      </w:pPr>
      <w:r>
        <w:rPr>
          <w:rFonts w:eastAsia="SimSun" w:cs="Calibri"/>
          <w:i/>
          <w:kern w:val="2"/>
          <w:sz w:val="24"/>
          <w:szCs w:val="24"/>
        </w:rPr>
      </w:r>
    </w:p>
    <w:p>
      <w:pPr>
        <w:pStyle w:val="Normal"/>
        <w:widowControl w:val="false"/>
        <w:suppressAutoHyphens w:val="true"/>
        <w:jc w:val="both"/>
        <w:textAlignment w:val="baseline"/>
        <w:rPr>
          <w:rFonts w:ascii="Calibri" w:hAnsi="Calibri" w:eastAsia="SimSun" w:cs="Calibri"/>
          <w:i/>
          <w:i/>
          <w:kern w:val="2"/>
          <w:sz w:val="24"/>
          <w:szCs w:val="24"/>
        </w:rPr>
      </w:pPr>
      <w:r>
        <w:rPr>
          <w:rFonts w:eastAsia="SimSun" w:cs="Calibri"/>
          <w:i/>
          <w:kern w:val="2"/>
          <w:sz w:val="24"/>
          <w:szCs w:val="24"/>
        </w:rPr>
        <w:t>Soit 35 mineurs, et 167 adultes (dont 121 personnes seules et 46 personnes en couples)</w:t>
      </w:r>
    </w:p>
    <w:p>
      <w:pPr>
        <w:pStyle w:val="Titre1"/>
        <w:numPr>
          <w:ilvl w:val="0"/>
          <w:numId w:val="7"/>
        </w:numPr>
        <w:jc w:val="both"/>
        <w:rPr>
          <w:rFonts w:eastAsia="SimSun"/>
          <w:b/>
          <w:b/>
          <w:u w:val="single"/>
        </w:rPr>
      </w:pPr>
      <w:bookmarkStart w:id="8" w:name="_Toc157101149"/>
      <w:r>
        <w:rPr>
          <w:rFonts w:eastAsia="SimSun"/>
          <w:b/>
          <w:u w:val="single"/>
        </w:rPr>
        <w:t>ANALYSE</w:t>
      </w:r>
      <w:bookmarkEnd w:id="8"/>
    </w:p>
    <w:p>
      <w:pPr>
        <w:pStyle w:val="ListParagraph"/>
        <w:rPr/>
      </w:pPr>
      <w:r>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A ce jour, le nombre de personnes accompagnées par les IDE est de 81 personnes représentant 161 consultations IDE ;</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Les principales problématiques de soins rencontrées pour le public accueillies et l’évaluation des besoins en santé, l’orientation, la coordination des acteurs, le suivi de conduites addictives, et l’éducation en Santé.</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 xml:space="preserve">-L’assistante sociale intervient auprès de 177 personnes avec 728 entretiens réalisés. </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Les principales problématiques sociales prises en charge sont l’accès au droit commun et les problématiques liées au logement, et la demande d’accompagnement administratif et l’accès à l’aide alimentaire.</w:t>
      </w:r>
    </w:p>
    <w:p>
      <w:pPr>
        <w:pStyle w:val="Normal"/>
        <w:suppressAutoHyphens w:val="true"/>
        <w:spacing w:lineRule="auto" w:line="240" w:before="0" w:after="0"/>
        <w:jc w:val="both"/>
        <w:textAlignment w:val="baseline"/>
        <w:rPr>
          <w:rFonts w:ascii="Calibri" w:hAnsi="Calibri" w:eastAsia="SimSun" w:cs="Calibri"/>
          <w:kern w:val="2"/>
          <w:sz w:val="24"/>
          <w:szCs w:val="24"/>
        </w:rPr>
      </w:pPr>
      <w:r>
        <w:rPr>
          <w:rFonts w:eastAsia="SimSun" w:cs="Calibri"/>
          <w:kern w:val="2"/>
          <w:sz w:val="24"/>
          <w:szCs w:val="24"/>
        </w:rPr>
        <w:t>-la téléconsultation a été sollicitée pour 10 personnes dont 3 pour des patients en situation précarité plus rurale, 7 dans le cadre de la missions d’appui pour des problématiques de migrants.</w:t>
      </w:r>
    </w:p>
    <w:p>
      <w:pPr>
        <w:pStyle w:val="Normal"/>
        <w:suppressAutoHyphens w:val="true"/>
        <w:spacing w:lineRule="auto" w:line="240" w:before="0" w:after="0"/>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spacing w:lineRule="auto" w:line="240" w:before="0" w:after="0"/>
        <w:jc w:val="both"/>
        <w:textAlignment w:val="baseline"/>
        <w:rPr>
          <w:rFonts w:ascii="Calibri" w:hAnsi="Calibri" w:eastAsia="SimSun" w:cs="Calibri"/>
          <w:kern w:val="2"/>
          <w:sz w:val="24"/>
          <w:szCs w:val="24"/>
        </w:rPr>
      </w:pPr>
      <w:r>
        <w:rPr>
          <w:rFonts w:eastAsia="SimSun" w:cs="Calibri"/>
          <w:kern w:val="2"/>
          <w:sz w:val="24"/>
          <w:szCs w:val="24"/>
        </w:rPr>
        <w:t xml:space="preserve">-un cabinet médical privée a été sollicité 1 fois pour une prise en charge. </w:t>
      </w:r>
    </w:p>
    <w:p>
      <w:pPr>
        <w:sectPr>
          <w:footerReference w:type="default" r:id="rId6"/>
          <w:type w:val="nextPage"/>
          <w:pgSz w:w="11906" w:h="16838"/>
          <w:pgMar w:left="1417" w:right="1417" w:header="0" w:top="709" w:footer="708" w:bottom="1417" w:gutter="0"/>
          <w:pgNumType w:fmt="decimal"/>
          <w:formProt w:val="false"/>
          <w:textDirection w:val="lrTb"/>
          <w:docGrid w:type="default" w:linePitch="600" w:charSpace="36864"/>
        </w:sectPr>
      </w:pPr>
    </w:p>
    <w:p>
      <w:pPr>
        <w:pStyle w:val="Normal"/>
        <w:suppressAutoHyphens w:val="true"/>
        <w:spacing w:lineRule="auto" w:line="240" w:before="0" w:after="0"/>
        <w:jc w:val="both"/>
        <w:textAlignment w:val="baseline"/>
        <w:rPr>
          <w:rFonts w:ascii="Calibri" w:hAnsi="Calibri" w:eastAsia="SimSun" w:cs="Calibri"/>
          <w:kern w:val="2"/>
          <w:sz w:val="24"/>
          <w:szCs w:val="24"/>
        </w:rPr>
      </w:pPr>
      <w:r>
        <w:rPr>
          <w:rFonts w:eastAsia="SimSun" w:cs="Calibri"/>
          <w:kern w:val="2"/>
          <w:sz w:val="24"/>
          <w:szCs w:val="24"/>
        </w:rPr>
      </w:r>
    </w:p>
    <w:p>
      <w:pPr>
        <w:sectPr>
          <w:type w:val="continuous"/>
          <w:pgSz w:w="11906" w:h="16838"/>
          <w:pgMar w:left="1417" w:right="1417" w:header="0" w:top="709" w:footer="708" w:bottom="1417" w:gutter="0"/>
          <w:cols w:num="2" w:space="708" w:equalWidth="true" w:sep="false"/>
          <w:formProt w:val="false"/>
          <w:textDirection w:val="lrTb"/>
          <w:docGrid w:type="default" w:linePitch="600" w:charSpace="36864"/>
        </w:sectPr>
      </w:pPr>
    </w:p>
    <w:p>
      <w:pPr>
        <w:pStyle w:val="Normal"/>
        <w:suppressAutoHyphens w:val="true"/>
        <w:spacing w:lineRule="auto" w:line="240" w:before="0" w:after="0"/>
        <w:jc w:val="both"/>
        <w:textAlignment w:val="baseline"/>
        <w:rPr>
          <w:rFonts w:ascii="Calibri" w:hAnsi="Calibri" w:eastAsia="SimSun" w:cs="Calibri"/>
          <w:kern w:val="2"/>
          <w:sz w:val="24"/>
          <w:szCs w:val="24"/>
        </w:rPr>
      </w:pPr>
      <w:r>
        <w:rPr>
          <w:rFonts w:eastAsia="SimSun" w:cs="Calibri"/>
          <w:kern w:val="2"/>
          <w:sz w:val="24"/>
          <w:szCs w:val="24"/>
        </w:rPr>
        <w:t xml:space="preserve">La PASS est toujours sollicitée par les services de l’hôpital, les personnels ont été sensibilisées aux admissions en particulier et une procédure d’intervention a été rédigée, un passage systématisé a été mis en place pour le repérage des patients. </w:t>
      </w:r>
    </w:p>
    <w:p>
      <w:pPr>
        <w:pStyle w:val="Normal"/>
        <w:suppressAutoHyphens w:val="true"/>
        <w:spacing w:lineRule="auto" w:line="240" w:before="0" w:after="0"/>
        <w:jc w:val="both"/>
        <w:textAlignment w:val="baseline"/>
        <w:rPr>
          <w:rFonts w:ascii="Calibri" w:hAnsi="Calibri" w:eastAsia="SimSun" w:cs="Calibri"/>
          <w:kern w:val="2"/>
          <w:sz w:val="24"/>
          <w:szCs w:val="24"/>
        </w:rPr>
      </w:pPr>
      <w:r>
        <w:rPr>
          <w:rFonts w:eastAsia="SimSun" w:cs="Calibri"/>
          <w:kern w:val="2"/>
          <w:sz w:val="24"/>
          <w:szCs w:val="24"/>
        </w:rPr>
      </w:r>
    </w:p>
    <w:p>
      <w:pPr>
        <w:pStyle w:val="Normal"/>
        <w:suppressAutoHyphens w:val="true"/>
        <w:spacing w:lineRule="auto" w:line="240" w:before="0" w:after="0"/>
        <w:jc w:val="both"/>
        <w:textAlignment w:val="baseline"/>
        <w:rPr>
          <w:rFonts w:ascii="Calibri" w:hAnsi="Calibri" w:eastAsia="SimSun" w:cs="Calibri"/>
          <w:kern w:val="2"/>
          <w:sz w:val="24"/>
          <w:szCs w:val="24"/>
        </w:rPr>
      </w:pPr>
      <w:r>
        <w:rPr>
          <w:rFonts w:eastAsia="SimSun" w:cs="Calibri"/>
          <w:kern w:val="2"/>
          <w:sz w:val="24"/>
          <w:szCs w:val="24"/>
        </w:rPr>
        <w:t xml:space="preserve">Les parcours ont été déterminés en partenariat avec la PASS de la Miséricorde afin de fluidifier les prises en charge pour les professionnels et les usagers. </w:t>
      </w:r>
    </w:p>
    <w:p>
      <w:pPr>
        <w:pStyle w:val="Normal"/>
        <w:suppressAutoHyphens w:val="true"/>
        <w:spacing w:lineRule="auto" w:line="240" w:before="0" w:after="0"/>
        <w:jc w:val="both"/>
        <w:textAlignment w:val="baseline"/>
        <w:rPr>
          <w:rFonts w:ascii="Calibri" w:hAnsi="Calibri" w:eastAsia="SimSun" w:cs="Calibri"/>
          <w:kern w:val="2"/>
          <w:sz w:val="24"/>
          <w:szCs w:val="24"/>
        </w:rPr>
      </w:pPr>
      <w:r>
        <w:rPr>
          <w:rFonts w:eastAsia="SimSun" w:cs="Calibri"/>
          <w:kern w:val="2"/>
          <w:sz w:val="24"/>
          <w:szCs w:val="24"/>
        </w:rPr>
      </w:r>
    </w:p>
    <w:p>
      <w:pPr>
        <w:pStyle w:val="Normal"/>
        <w:widowControl w:val="false"/>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Titre1"/>
        <w:jc w:val="both"/>
        <w:rPr>
          <w:rFonts w:eastAsia="SimSun"/>
          <w:b/>
          <w:b/>
          <w:u w:val="single"/>
        </w:rPr>
      </w:pPr>
      <w:bookmarkStart w:id="9" w:name="_Toc157101151"/>
      <w:r>
        <w:rPr>
          <w:rFonts w:eastAsia="SimSun"/>
          <w:b/>
        </w:rPr>
        <w:t xml:space="preserve">3.1.2 </w:t>
      </w:r>
      <w:r>
        <w:rPr>
          <w:rFonts w:eastAsia="SimSun"/>
          <w:b/>
          <w:u w:val="single"/>
        </w:rPr>
        <w:t>Evolution dans l’accueil des personnes en demande d’asile</w:t>
      </w:r>
      <w:bookmarkEnd w:id="9"/>
      <w:r>
        <w:rPr>
          <w:rFonts w:eastAsia="SimSun"/>
          <w:b/>
          <w:u w:val="single"/>
        </w:rPr>
        <w:t xml:space="preserve"> </w:t>
      </w:r>
    </w:p>
    <w:p>
      <w:pPr>
        <w:pStyle w:val="Normal"/>
        <w:jc w:val="both"/>
        <w:rPr>
          <w:rFonts w:ascii="Calibri" w:hAnsi="Calibri" w:eastAsia="SimSun" w:cs="Calibri"/>
          <w:kern w:val="2"/>
          <w:sz w:val="24"/>
          <w:szCs w:val="24"/>
        </w:rPr>
      </w:pPr>
      <w:r>
        <w:rPr/>
      </w:r>
    </w:p>
    <w:p>
      <w:pPr>
        <w:pStyle w:val="Normal"/>
        <w:jc w:val="both"/>
        <w:rPr>
          <w:rFonts w:ascii="Calibri" w:hAnsi="Calibri" w:eastAsia="SimSun" w:cs="Calibri"/>
          <w:kern w:val="2"/>
          <w:sz w:val="24"/>
          <w:szCs w:val="24"/>
        </w:rPr>
      </w:pPr>
      <w:r>
        <w:rPr/>
        <w:t xml:space="preserve">Le nombre de demandeurs d’asile accueillis à la mission d’appui aux PASS a augmenté cette année à 16 demandeurs d’asiles contre 9 en 2023. </w:t>
      </w:r>
    </w:p>
    <w:p>
      <w:pPr>
        <w:pStyle w:val="Normal"/>
        <w:jc w:val="both"/>
        <w:rPr>
          <w:rFonts w:ascii="Calibri" w:hAnsi="Calibri" w:eastAsia="SimSun" w:cs="Calibri"/>
          <w:kern w:val="2"/>
          <w:sz w:val="24"/>
          <w:szCs w:val="24"/>
        </w:rPr>
      </w:pPr>
      <w:r>
        <w:rPr/>
        <w:t>L’adressage est réalisé par les structures d’hébergements en particulier sur Falaise. (Association Des amis de jean Boscot, COALLIA  …)</w:t>
      </w:r>
    </w:p>
    <w:p>
      <w:pPr>
        <w:pStyle w:val="ListParagraph"/>
        <w:numPr>
          <w:ilvl w:val="2"/>
          <w:numId w:val="7"/>
        </w:numPr>
        <w:jc w:val="both"/>
        <w:rPr>
          <w:color w:val="0070C0"/>
          <w:sz w:val="32"/>
          <w:szCs w:val="32"/>
          <w:u w:val="single"/>
        </w:rPr>
      </w:pPr>
      <w:r>
        <w:rPr>
          <w:color w:val="0070C0"/>
          <w:sz w:val="32"/>
          <w:szCs w:val="32"/>
          <w:u w:val="single"/>
        </w:rPr>
        <w:t>Evolution du public accompagné</w:t>
      </w:r>
    </w:p>
    <w:p>
      <w:pPr>
        <w:pStyle w:val="Normal"/>
        <w:jc w:val="both"/>
        <w:rPr>
          <w:rFonts w:ascii="Calibri" w:hAnsi="Calibri" w:eastAsia="SimSun" w:cs="Calibri"/>
          <w:kern w:val="2"/>
          <w:sz w:val="24"/>
          <w:szCs w:val="24"/>
        </w:rPr>
      </w:pPr>
      <w:r>
        <w:rPr/>
        <w:t xml:space="preserve">La file active de la mission d’appui à la PASS se constitue majoritairement des liens avec l’établissement support (43.5% des personnes) </w:t>
      </w:r>
    </w:p>
    <w:p>
      <w:pPr>
        <w:pStyle w:val="Normal"/>
        <w:jc w:val="both"/>
        <w:rPr>
          <w:rFonts w:ascii="Calibri" w:hAnsi="Calibri" w:eastAsia="SimSun" w:cs="Calibri"/>
          <w:kern w:val="2"/>
          <w:sz w:val="24"/>
          <w:szCs w:val="24"/>
        </w:rPr>
      </w:pPr>
      <w:r>
        <w:rPr/>
        <w:t>46% des personnes sont adressés par les partenaires sociaux et associatifs avec ou sans hébergement.</w:t>
      </w:r>
    </w:p>
    <w:p>
      <w:pPr>
        <w:pStyle w:val="Normal"/>
        <w:jc w:val="both"/>
        <w:rPr>
          <w:rFonts w:ascii="Calibri" w:hAnsi="Calibri" w:eastAsia="SimSun" w:cs="Calibri"/>
          <w:kern w:val="2"/>
          <w:sz w:val="24"/>
          <w:szCs w:val="24"/>
        </w:rPr>
      </w:pPr>
      <w:r>
        <w:rPr/>
        <w:t>Seulement 8.9 % des patients se présentent spontanément.</w:t>
      </w:r>
    </w:p>
    <w:p>
      <w:pPr>
        <w:pStyle w:val="Normal"/>
        <w:jc w:val="both"/>
        <w:rPr>
          <w:rFonts w:ascii="Calibri" w:hAnsi="Calibri" w:eastAsia="SimSun" w:cs="Calibri"/>
          <w:kern w:val="2"/>
          <w:sz w:val="24"/>
          <w:szCs w:val="24"/>
        </w:rPr>
      </w:pPr>
      <w:r>
        <w:rPr/>
        <w:t xml:space="preserve">Les </w:t>
      </w:r>
    </w:p>
    <w:p>
      <w:pPr>
        <w:pStyle w:val="Titre1"/>
        <w:jc w:val="both"/>
        <w:rPr>
          <w:rFonts w:eastAsia="SimSun"/>
          <w:b/>
          <w:b/>
          <w:u w:val="single"/>
        </w:rPr>
      </w:pPr>
      <w:bookmarkStart w:id="10" w:name="_Toc157101153"/>
      <w:r>
        <w:rPr>
          <w:rFonts w:eastAsia="SimSun"/>
          <w:b/>
          <w:u w:val="single"/>
        </w:rPr>
        <w:t>4.  FAVORISER LE TRAVAIL EN RESEAU</w:t>
      </w:r>
      <w:bookmarkEnd w:id="10"/>
    </w:p>
    <w:p>
      <w:pPr>
        <w:pStyle w:val="Titre1"/>
        <w:jc w:val="both"/>
        <w:rPr>
          <w:rFonts w:eastAsia="SimSun"/>
          <w:b/>
          <w:b/>
          <w:u w:val="single"/>
        </w:rPr>
      </w:pPr>
      <w:bookmarkStart w:id="11" w:name="_Toc157101154"/>
      <w:r>
        <w:rPr>
          <w:rFonts w:eastAsia="SimSun"/>
          <w:b/>
          <w:u w:val="single"/>
        </w:rPr>
        <w:t>4.1 S’inscrire dans le réseau institutionnel</w:t>
      </w:r>
      <w:bookmarkEnd w:id="11"/>
    </w:p>
    <w:p>
      <w:pPr>
        <w:pStyle w:val="Normal"/>
        <w:jc w:val="both"/>
        <w:rPr>
          <w:rFonts w:ascii="Calibri" w:hAnsi="Calibri" w:eastAsia="SimSun" w:cs="Calibri"/>
          <w:kern w:val="2"/>
          <w:sz w:val="24"/>
          <w:szCs w:val="24"/>
        </w:rPr>
      </w:pPr>
      <w:r>
        <w:rPr/>
      </w:r>
    </w:p>
    <w:p>
      <w:pPr>
        <w:pStyle w:val="Normal"/>
        <w:jc w:val="both"/>
        <w:rPr>
          <w:rFonts w:ascii="Calibri" w:hAnsi="Calibri" w:eastAsia="SimSun" w:cs="Calibri"/>
          <w:kern w:val="2"/>
          <w:sz w:val="24"/>
          <w:szCs w:val="24"/>
        </w:rPr>
      </w:pPr>
      <w:r>
        <w:rPr/>
        <w:t>La PASS est parfaitement reconnue au sein de l’institution, elle est inscrite dans le pôle Activités transversales et ses missions sont connues des professionnels. La PASS participe à des réunions institutionnelles.</w:t>
      </w:r>
    </w:p>
    <w:p>
      <w:pPr>
        <w:pStyle w:val="Normal"/>
        <w:jc w:val="both"/>
        <w:rPr>
          <w:rFonts w:ascii="Calibri" w:hAnsi="Calibri" w:eastAsia="SimSun" w:cs="Calibri"/>
          <w:kern w:val="2"/>
          <w:sz w:val="24"/>
          <w:szCs w:val="24"/>
        </w:rPr>
      </w:pPr>
      <w:r>
        <w:rPr/>
        <w:t xml:space="preserve">Le public a connaissance de ce service de l’établissement notamment via le livret d’accueil du CH et le travail de repérage en unités de soins permet d’orienter les usagers vers les professionnels de la missions d’appui. </w:t>
      </w:r>
    </w:p>
    <w:p>
      <w:pPr>
        <w:pStyle w:val="Titre1"/>
        <w:numPr>
          <w:ilvl w:val="1"/>
          <w:numId w:val="2"/>
        </w:numPr>
        <w:jc w:val="both"/>
        <w:rPr>
          <w:rFonts w:eastAsia="SimSun"/>
          <w:b/>
          <w:b/>
          <w:u w:val="single"/>
        </w:rPr>
      </w:pPr>
      <w:r>
        <w:rPr>
          <w:rFonts w:eastAsia="SimSun"/>
          <w:b/>
          <w:u w:val="single"/>
        </w:rPr>
        <w:t xml:space="preserve">  </w:t>
      </w:r>
      <w:bookmarkStart w:id="12" w:name="_Toc157101155"/>
      <w:r>
        <w:rPr>
          <w:rFonts w:eastAsia="SimSun"/>
          <w:b/>
          <w:u w:val="single"/>
        </w:rPr>
        <w:t>Consolider les liens avec les partenaires</w:t>
      </w:r>
      <w:bookmarkEnd w:id="12"/>
    </w:p>
    <w:p>
      <w:pPr>
        <w:pStyle w:val="Normal"/>
        <w:widowControl w:val="false"/>
        <w:suppressAutoHyphens w:val="true"/>
        <w:jc w:val="both"/>
        <w:textAlignment w:val="baseline"/>
        <w:rPr>
          <w:rFonts w:ascii="Calibri" w:hAnsi="Calibri" w:eastAsia="SimSun" w:cs="Calibri"/>
          <w:bCs/>
          <w:color w:val="2E74B5" w:themeColor="accent1" w:themeShade="bf"/>
          <w:kern w:val="2"/>
          <w:sz w:val="24"/>
          <w:szCs w:val="24"/>
        </w:rPr>
      </w:pPr>
      <w:r>
        <w:rPr>
          <w:rFonts w:eastAsia="SimSun" w:cs="Calibri"/>
          <w:bCs/>
          <w:color w:val="2E74B5" w:themeColor="accent1" w:themeShade="bf"/>
          <w:kern w:val="2"/>
          <w:sz w:val="24"/>
          <w:szCs w:val="24"/>
        </w:rPr>
      </w:r>
    </w:p>
    <w:p>
      <w:pPr>
        <w:pStyle w:val="Normal"/>
        <w:widowControl w:val="false"/>
        <w:suppressAutoHyphens w:val="true"/>
        <w:jc w:val="both"/>
        <w:textAlignment w:val="baseline"/>
        <w:rPr>
          <w:rFonts w:ascii="Calibri" w:hAnsi="Calibri" w:eastAsia="SimSun" w:cs="Calibri"/>
          <w:bCs/>
          <w:color w:val="2E74B5" w:themeColor="accent1" w:themeShade="bf"/>
          <w:kern w:val="2"/>
          <w:sz w:val="24"/>
          <w:szCs w:val="24"/>
        </w:rPr>
      </w:pPr>
      <w:r>
        <w:rPr>
          <w:rFonts w:eastAsia="SimSun" w:cs="Calibri"/>
          <w:bCs/>
          <w:color w:val="2E74B5" w:themeColor="accent1" w:themeShade="bf"/>
          <w:kern w:val="2"/>
          <w:sz w:val="24"/>
          <w:szCs w:val="24"/>
        </w:rPr>
        <w:t xml:space="preserve">4.2.1 </w:t>
      </w:r>
      <w:r>
        <w:rPr>
          <w:rFonts w:eastAsia="SimSun" w:cs="Calibri"/>
          <w:bCs/>
          <w:color w:val="2E74B5" w:themeColor="accent1" w:themeShade="bf"/>
          <w:kern w:val="2"/>
          <w:sz w:val="24"/>
          <w:szCs w:val="24"/>
          <w:u w:val="single"/>
        </w:rPr>
        <w:t>Les associations caritatives</w:t>
      </w:r>
      <w:r>
        <w:rPr>
          <w:rFonts w:eastAsia="SimSun" w:cs="Calibri"/>
          <w:bCs/>
          <w:color w:val="2E74B5" w:themeColor="accent1" w:themeShade="bf"/>
          <w:kern w:val="2"/>
          <w:sz w:val="24"/>
          <w:szCs w:val="24"/>
        </w:rPr>
        <w:t xml:space="preserve"> </w:t>
      </w:r>
    </w:p>
    <w:p>
      <w:pPr>
        <w:pStyle w:val="ListParagraph"/>
        <w:widowControl w:val="false"/>
        <w:suppressAutoHyphens w:val="true"/>
        <w:ind w:left="435" w:hanging="0"/>
        <w:jc w:val="both"/>
        <w:textAlignment w:val="baseline"/>
        <w:rPr>
          <w:rFonts w:ascii="Calibri" w:hAnsi="Calibri" w:eastAsia="SimSun" w:cs="Calibri"/>
          <w:bCs/>
          <w:kern w:val="2"/>
          <w:sz w:val="24"/>
          <w:szCs w:val="24"/>
        </w:rPr>
      </w:pPr>
      <w:r>
        <w:rPr>
          <w:rFonts w:eastAsia="SimSun" w:cs="Calibri"/>
          <w:bCs/>
          <w:kern w:val="2"/>
          <w:sz w:val="24"/>
          <w:szCs w:val="24"/>
        </w:rPr>
        <w:t>En 2023, des liens étroits se sont tissés avec nos partenaires sociaux et associatifs tels que Les restos du cœur, La Croix-Rouge Française, La cellule détresse de la Sécurité sociale, la MSA, le CCAS de Falaise, la Circonscription d’Action Sociale… permettant le maintien et le développement du réseau et l’optimisation des prises en charge des usagers. Ces partenariats ont perduré en 2024.</w:t>
      </w:r>
    </w:p>
    <w:p>
      <w:pPr>
        <w:pStyle w:val="ListParagraph"/>
        <w:widowControl w:val="false"/>
        <w:suppressAutoHyphens w:val="true"/>
        <w:ind w:left="435" w:hanging="0"/>
        <w:jc w:val="both"/>
        <w:textAlignment w:val="baseline"/>
        <w:rPr>
          <w:rFonts w:ascii="Calibri" w:hAnsi="Calibri" w:eastAsia="SimSun" w:cs="Calibri"/>
          <w:bCs/>
          <w:kern w:val="2"/>
          <w:sz w:val="24"/>
          <w:szCs w:val="24"/>
        </w:rPr>
      </w:pPr>
      <w:r>
        <w:rPr>
          <w:rFonts w:eastAsia="SimSun" w:cs="Calibri"/>
          <w:bCs/>
          <w:kern w:val="2"/>
          <w:sz w:val="24"/>
          <w:szCs w:val="24"/>
        </w:rPr>
      </w:r>
    </w:p>
    <w:p>
      <w:pPr>
        <w:pStyle w:val="Normal"/>
        <w:widowControl w:val="false"/>
        <w:suppressAutoHyphens w:val="true"/>
        <w:jc w:val="both"/>
        <w:textAlignment w:val="baseline"/>
        <w:rPr>
          <w:rFonts w:ascii="Calibri" w:hAnsi="Calibri" w:eastAsia="SimSun" w:cs="Calibri"/>
          <w:bCs/>
          <w:color w:val="2E74B5" w:themeColor="accent1" w:themeShade="bf"/>
          <w:kern w:val="2"/>
          <w:sz w:val="24"/>
          <w:szCs w:val="24"/>
          <w:u w:val="single"/>
        </w:rPr>
      </w:pPr>
      <w:r>
        <w:rPr>
          <w:rFonts w:eastAsia="SimSun" w:cs="Calibri"/>
          <w:bCs/>
          <w:color w:val="2E74B5" w:themeColor="accent1" w:themeShade="bf"/>
          <w:kern w:val="2"/>
          <w:sz w:val="24"/>
          <w:szCs w:val="24"/>
          <w:u w:val="single"/>
        </w:rPr>
        <w:t>4.2.2 CLAT (Centre de Lutte Antituberculeuse)</w:t>
      </w:r>
    </w:p>
    <w:p>
      <w:pPr>
        <w:pStyle w:val="ListParagraph"/>
        <w:widowControl w:val="false"/>
        <w:suppressAutoHyphens w:val="true"/>
        <w:ind w:left="1" w:hanging="1"/>
        <w:jc w:val="both"/>
        <w:textAlignment w:val="baseline"/>
        <w:rPr>
          <w:rFonts w:ascii="Calibri" w:hAnsi="Calibri" w:eastAsia="SimSun" w:cs="Calibri"/>
          <w:bCs/>
          <w:kern w:val="2"/>
          <w:sz w:val="24"/>
          <w:szCs w:val="24"/>
        </w:rPr>
      </w:pPr>
      <w:r>
        <w:rPr>
          <w:rFonts w:eastAsia="SimSun" w:cs="Calibri"/>
          <w:bCs/>
          <w:kern w:val="2"/>
          <w:sz w:val="24"/>
          <w:szCs w:val="24"/>
        </w:rPr>
      </w:r>
    </w:p>
    <w:p>
      <w:pPr>
        <w:pStyle w:val="ListParagraph"/>
        <w:widowControl w:val="false"/>
        <w:suppressAutoHyphens w:val="true"/>
        <w:ind w:left="1" w:hanging="1"/>
        <w:jc w:val="both"/>
        <w:textAlignment w:val="baseline"/>
        <w:rPr>
          <w:rFonts w:ascii="Calibri" w:hAnsi="Calibri" w:eastAsia="SimSun" w:cs="Calibri"/>
          <w:bCs/>
          <w:kern w:val="2"/>
          <w:sz w:val="24"/>
          <w:szCs w:val="24"/>
        </w:rPr>
      </w:pPr>
      <w:r>
        <w:rPr>
          <w:rFonts w:eastAsia="SimSun" w:cs="Calibri"/>
          <w:bCs/>
          <w:kern w:val="2"/>
          <w:sz w:val="24"/>
          <w:szCs w:val="24"/>
        </w:rPr>
        <w:t>Une convention de partenariat a été signée avec le Centre Hospitalier de Falaise le 15 mars 2021 qui permet un financement des radiographies pulmonaires de dépistage (8 fois Pour l’année 2024) en lien avec la téléconsultation.</w:t>
      </w:r>
    </w:p>
    <w:p>
      <w:pPr>
        <w:pStyle w:val="ListParagraph"/>
        <w:widowControl w:val="false"/>
        <w:suppressAutoHyphens w:val="true"/>
        <w:ind w:left="1" w:hanging="1"/>
        <w:jc w:val="both"/>
        <w:textAlignment w:val="baseline"/>
        <w:rPr>
          <w:rFonts w:ascii="Calibri" w:hAnsi="Calibri" w:eastAsia="SimSun" w:cs="Calibri"/>
          <w:bCs/>
          <w:kern w:val="2"/>
          <w:sz w:val="24"/>
          <w:szCs w:val="24"/>
        </w:rPr>
      </w:pPr>
      <w:r>
        <w:rPr>
          <w:rFonts w:eastAsia="SimSun" w:cs="Calibri"/>
          <w:bCs/>
          <w:kern w:val="2"/>
          <w:sz w:val="24"/>
          <w:szCs w:val="24"/>
        </w:rPr>
        <w:t>Ceci dans l’objectif de dépister et prendre en charge des cas de tuberculose.</w:t>
      </w:r>
    </w:p>
    <w:p>
      <w:pPr>
        <w:pStyle w:val="Normal"/>
        <w:widowControl w:val="false"/>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t xml:space="preserve">  </w:t>
      </w:r>
    </w:p>
    <w:p>
      <w:pPr>
        <w:pStyle w:val="ListParagraph"/>
        <w:widowControl w:val="false"/>
        <w:numPr>
          <w:ilvl w:val="2"/>
          <w:numId w:val="11"/>
        </w:numPr>
        <w:suppressAutoHyphens w:val="true"/>
        <w:jc w:val="both"/>
        <w:textAlignment w:val="baseline"/>
        <w:rPr>
          <w:rFonts w:ascii="Calibri" w:hAnsi="Calibri" w:eastAsia="SimSun" w:cs="Calibri"/>
          <w:bCs/>
          <w:color w:val="2E74B5" w:themeColor="accent1" w:themeShade="bf"/>
          <w:kern w:val="2"/>
          <w:sz w:val="24"/>
          <w:szCs w:val="24"/>
          <w:u w:val="single"/>
        </w:rPr>
      </w:pPr>
      <w:r>
        <w:rPr>
          <w:rFonts w:eastAsia="SimSun" w:cs="Calibri"/>
          <w:bCs/>
          <w:color w:val="2E74B5" w:themeColor="accent1" w:themeShade="bf"/>
          <w:kern w:val="2"/>
          <w:sz w:val="24"/>
          <w:szCs w:val="24"/>
          <w:u w:val="single"/>
        </w:rPr>
        <w:t>EMPP (Equipe Mobile Psychiatrie Précarité)</w:t>
      </w:r>
    </w:p>
    <w:p>
      <w:pPr>
        <w:pStyle w:val="ListParagraph"/>
        <w:widowControl w:val="false"/>
        <w:suppressAutoHyphens w:val="true"/>
        <w:ind w:left="1" w:hanging="0"/>
        <w:jc w:val="both"/>
        <w:textAlignment w:val="baseline"/>
        <w:rPr>
          <w:rFonts w:ascii="Calibri" w:hAnsi="Calibri" w:eastAsia="SimSun" w:cs="Calibri"/>
          <w:bCs/>
          <w:kern w:val="2"/>
          <w:sz w:val="24"/>
          <w:szCs w:val="24"/>
          <w:u w:val="single"/>
        </w:rPr>
      </w:pPr>
      <w:r>
        <w:rPr>
          <w:rFonts w:eastAsia="SimSun" w:cs="Calibri"/>
          <w:bCs/>
          <w:kern w:val="2"/>
          <w:sz w:val="24"/>
          <w:szCs w:val="24"/>
          <w:u w:val="single"/>
        </w:rPr>
      </w:r>
    </w:p>
    <w:p>
      <w:pPr>
        <w:pStyle w:val="ListParagraph"/>
        <w:widowControl w:val="false"/>
        <w:suppressAutoHyphens w:val="true"/>
        <w:ind w:left="1" w:hanging="1"/>
        <w:jc w:val="both"/>
        <w:textAlignment w:val="baseline"/>
        <w:rPr>
          <w:rFonts w:ascii="Calibri" w:hAnsi="Calibri" w:eastAsia="SimSun" w:cs="Calibri"/>
          <w:bCs/>
          <w:kern w:val="2"/>
          <w:sz w:val="24"/>
          <w:szCs w:val="24"/>
        </w:rPr>
      </w:pPr>
      <w:r>
        <w:rPr>
          <w:rFonts w:eastAsia="SimSun" w:cs="Calibri"/>
          <w:bCs/>
          <w:kern w:val="2"/>
          <w:sz w:val="24"/>
          <w:szCs w:val="24"/>
        </w:rPr>
        <w:t>Il s’agit d’un partenaire important permettant d’apporter un soutien psychologique et/ou une expertise psychiatrique. L’EMPP est intervenu dans 6 ???situations au cours de l’année 2024.</w:t>
      </w:r>
    </w:p>
    <w:p>
      <w:pPr>
        <w:pStyle w:val="ListParagraph"/>
        <w:widowControl w:val="false"/>
        <w:suppressAutoHyphens w:val="true"/>
        <w:ind w:left="1" w:hanging="1"/>
        <w:jc w:val="both"/>
        <w:textAlignment w:val="baseline"/>
        <w:rPr>
          <w:rFonts w:ascii="Calibri" w:hAnsi="Calibri" w:eastAsia="SimSun" w:cs="Calibri"/>
          <w:bCs/>
          <w:kern w:val="2"/>
          <w:sz w:val="24"/>
          <w:szCs w:val="24"/>
        </w:rPr>
      </w:pPr>
      <w:r>
        <w:rPr>
          <w:rFonts w:eastAsia="SimSun" w:cs="Calibri"/>
          <w:bCs/>
          <w:kern w:val="2"/>
          <w:sz w:val="24"/>
          <w:szCs w:val="24"/>
        </w:rPr>
        <w:t>Les formalités de recours à l’EMPP sont simples et permettent une intervention rapide de leur service (fiche de liaison / mail).</w:t>
      </w:r>
    </w:p>
    <w:p>
      <w:pPr>
        <w:pStyle w:val="ListParagraph"/>
        <w:widowControl w:val="false"/>
        <w:suppressAutoHyphens w:val="true"/>
        <w:ind w:left="1" w:hanging="1"/>
        <w:jc w:val="both"/>
        <w:textAlignment w:val="baseline"/>
        <w:rPr>
          <w:rFonts w:ascii="Calibri" w:hAnsi="Calibri" w:eastAsia="SimSun" w:cs="Calibri"/>
          <w:bCs/>
          <w:kern w:val="2"/>
          <w:sz w:val="24"/>
          <w:szCs w:val="24"/>
        </w:rPr>
      </w:pPr>
      <w:r>
        <w:rPr>
          <w:rFonts w:eastAsia="SimSun" w:cs="Calibri"/>
          <w:bCs/>
          <w:kern w:val="2"/>
          <w:sz w:val="24"/>
          <w:szCs w:val="24"/>
        </w:rPr>
      </w:r>
    </w:p>
    <w:p>
      <w:pPr>
        <w:pStyle w:val="ListParagraph"/>
        <w:widowControl w:val="false"/>
        <w:suppressAutoHyphens w:val="true"/>
        <w:ind w:left="1" w:hanging="1"/>
        <w:jc w:val="both"/>
        <w:textAlignment w:val="baseline"/>
        <w:rPr>
          <w:rFonts w:ascii="Calibri" w:hAnsi="Calibri" w:eastAsia="SimSun" w:cs="Calibri"/>
          <w:bCs/>
          <w:kern w:val="2"/>
          <w:sz w:val="24"/>
          <w:szCs w:val="24"/>
        </w:rPr>
      </w:pPr>
      <w:r>
        <w:rPr>
          <w:rFonts w:eastAsia="SimSun" w:cs="Calibri"/>
          <w:bCs/>
          <w:kern w:val="2"/>
          <w:sz w:val="24"/>
          <w:szCs w:val="24"/>
        </w:rPr>
      </w:r>
    </w:p>
    <w:p>
      <w:pPr>
        <w:pStyle w:val="ListParagraph"/>
        <w:widowControl w:val="false"/>
        <w:numPr>
          <w:ilvl w:val="2"/>
          <w:numId w:val="11"/>
        </w:numPr>
        <w:suppressAutoHyphens w:val="true"/>
        <w:jc w:val="both"/>
        <w:textAlignment w:val="baseline"/>
        <w:rPr>
          <w:rFonts w:ascii="Calibri" w:hAnsi="Calibri" w:eastAsia="SimSun" w:cs="Calibri"/>
          <w:bCs/>
          <w:color w:val="2E74B5" w:themeColor="accent1" w:themeShade="bf"/>
          <w:kern w:val="2"/>
          <w:sz w:val="24"/>
          <w:szCs w:val="24"/>
          <w:u w:val="single"/>
        </w:rPr>
      </w:pPr>
      <w:r>
        <w:rPr>
          <w:rFonts w:eastAsia="SimSun" w:cs="Calibri"/>
          <w:bCs/>
          <w:color w:val="2E74B5" w:themeColor="accent1" w:themeShade="bf"/>
          <w:kern w:val="2"/>
          <w:sz w:val="24"/>
          <w:szCs w:val="24"/>
          <w:u w:val="single"/>
        </w:rPr>
        <w:t>PASS Dentaire</w:t>
      </w:r>
    </w:p>
    <w:p>
      <w:pPr>
        <w:pStyle w:val="Normal"/>
        <w:widowControl w:val="false"/>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t>Ce service a été sollicité 6 Fois cette année, avec des délais de prise en charge rapides.</w:t>
      </w:r>
    </w:p>
    <w:p>
      <w:pPr>
        <w:pStyle w:val="ListParagraph"/>
        <w:widowControl w:val="false"/>
        <w:numPr>
          <w:ilvl w:val="2"/>
          <w:numId w:val="11"/>
        </w:numPr>
        <w:suppressAutoHyphens w:val="true"/>
        <w:jc w:val="both"/>
        <w:textAlignment w:val="baseline"/>
        <w:rPr>
          <w:rFonts w:ascii="Calibri" w:hAnsi="Calibri" w:eastAsia="SimSun" w:cs="Calibri"/>
          <w:bCs/>
          <w:color w:val="2E74B5" w:themeColor="accent1" w:themeShade="bf"/>
          <w:kern w:val="2"/>
          <w:sz w:val="24"/>
          <w:szCs w:val="24"/>
          <w:u w:val="single"/>
        </w:rPr>
      </w:pPr>
      <w:r>
        <w:rPr>
          <w:rFonts w:eastAsia="SimSun" w:cs="Calibri"/>
          <w:bCs/>
          <w:color w:val="2E74B5" w:themeColor="accent1" w:themeShade="bf"/>
          <w:kern w:val="2"/>
          <w:sz w:val="24"/>
          <w:szCs w:val="24"/>
          <w:u w:val="single"/>
        </w:rPr>
        <w:t xml:space="preserve">Association des amis de Jean Bosco </w:t>
      </w:r>
    </w:p>
    <w:p>
      <w:pPr>
        <w:pStyle w:val="Normal"/>
        <w:widowControl w:val="false"/>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t>Cette association prend en charge l’hébergement et la réinsertion des migrants sur notre territoire. 3 logements se trouvent sur Falaise. La PASS a été sollicitée 16 fois pour ce public.</w:t>
      </w:r>
    </w:p>
    <w:p>
      <w:pPr>
        <w:pStyle w:val="ListParagraph"/>
        <w:widowControl w:val="false"/>
        <w:numPr>
          <w:ilvl w:val="2"/>
          <w:numId w:val="11"/>
        </w:numPr>
        <w:suppressAutoHyphens w:val="true"/>
        <w:jc w:val="both"/>
        <w:textAlignment w:val="baseline"/>
        <w:rPr>
          <w:rFonts w:ascii="Calibri" w:hAnsi="Calibri" w:eastAsia="SimSun" w:cs="Calibri"/>
          <w:bCs/>
          <w:color w:val="2E74B5" w:themeColor="accent1" w:themeShade="bf"/>
          <w:kern w:val="2"/>
          <w:sz w:val="24"/>
          <w:szCs w:val="24"/>
          <w:u w:val="single"/>
        </w:rPr>
      </w:pPr>
      <w:r>
        <w:rPr>
          <w:rFonts w:eastAsia="SimSun" w:cs="Calibri"/>
          <w:bCs/>
          <w:color w:val="2E74B5" w:themeColor="accent1" w:themeShade="bf"/>
          <w:kern w:val="2"/>
          <w:sz w:val="24"/>
          <w:szCs w:val="24"/>
          <w:u w:val="single"/>
        </w:rPr>
        <w:t>Services intra hospitaliers :</w:t>
      </w:r>
    </w:p>
    <w:p>
      <w:pPr>
        <w:pStyle w:val="Normal"/>
        <w:widowControl w:val="false"/>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t>-Service des urgences : Mise en application d’une fiche de liaison entre les urgences et le service de la PASS pour faciliter les demandes d’évaluation et de prise en charge des patients repérés en situation de précarité.</w:t>
      </w:r>
    </w:p>
    <w:p>
      <w:pPr>
        <w:pStyle w:val="Normal"/>
        <w:widowControl w:val="false"/>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r>
    </w:p>
    <w:p>
      <w:pPr>
        <w:pStyle w:val="Titre1"/>
        <w:numPr>
          <w:ilvl w:val="1"/>
          <w:numId w:val="11"/>
        </w:numPr>
        <w:jc w:val="both"/>
        <w:rPr>
          <w:rFonts w:eastAsia="SimSun"/>
          <w:b/>
          <w:b/>
          <w:u w:val="single"/>
        </w:rPr>
      </w:pPr>
      <w:bookmarkStart w:id="13" w:name="_Toc157101156"/>
      <w:r>
        <w:rPr>
          <w:rFonts w:eastAsia="SimSun"/>
          <w:b/>
          <w:u w:val="single"/>
        </w:rPr>
        <w:t>« Aller Vers »</w:t>
      </w:r>
      <w:bookmarkEnd w:id="13"/>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t>Suite à l’enquête de mobilité menée en 2015 par la PASS de Falaise, les problèmes de mobilité sur le territoire semblaient être un facteur accentuant les difficultés d’accès aux soins de ses habitants. Le renforcement de nos partenariats a permis de réaliser de multiples permanences sur l’année 2024 permettant ainsi de rencontrer les bénéficiaires et de leur proposer un accompagnement :</w:t>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t xml:space="preserve">Au total sur l’année, nous avons pu mettre en place des permanences au nombre de 53 selon la répartition suivante : </w:t>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t>-Falaise, resto du cœur : 16 (+3)</w:t>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t xml:space="preserve">-Permanences Secours Populaires Pont d’Ouilly : 28 (mise en place 2024 suspendu sur l’été reprise en novembre) </w:t>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t xml:space="preserve">-St Pierre en Auge : 12 (diminution de 50% en lien avec les fériés et moins de demandes) </w:t>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t xml:space="preserve">Arrêt des missions d’appuis en 2024 : </w:t>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t>-Bretteville-sur-Laize CCAS</w:t>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t xml:space="preserve">Maintien mais uniquement à la demande : </w:t>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t xml:space="preserve">-missions locale de Falaise conservé à la demande (atelier prévu éducation à la santé en décembre) </w:t>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t xml:space="preserve">L’équipe a pu se rendre également au domicile des bénéficiaires : </w:t>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t>- 49 visites à domiciles ont été organisées,</w:t>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t>- 30 accompagnement à des rendez-vous ont été réalisés</w:t>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r>
    </w:p>
    <w:p>
      <w:pPr>
        <w:pStyle w:val="Normal"/>
        <w:widowControl w:val="false"/>
        <w:suppressAutoHyphens w:val="true"/>
        <w:ind w:left="425" w:hanging="0"/>
        <w:jc w:val="both"/>
        <w:textAlignment w:val="baseline"/>
        <w:rPr>
          <w:rFonts w:ascii="Calibri" w:hAnsi="Calibri" w:eastAsia="SimSun" w:cs="Calibri"/>
          <w:bCs/>
          <w:color w:val="2E74B5" w:themeColor="accent1" w:themeShade="bf"/>
          <w:kern w:val="2"/>
          <w:sz w:val="32"/>
          <w:szCs w:val="32"/>
          <w:u w:val="single"/>
        </w:rPr>
      </w:pPr>
      <w:r>
        <w:rPr>
          <w:rFonts w:eastAsia="SimSun" w:cs="Calibri"/>
          <w:bCs/>
          <w:color w:val="0070C0"/>
          <w:kern w:val="2"/>
          <w:sz w:val="32"/>
          <w:szCs w:val="32"/>
          <w:u w:val="single"/>
        </w:rPr>
        <w:t>5.L’équipe pluridisciplinaire participe aux échanges des PASS de la région</w:t>
      </w:r>
      <w:r>
        <w:rPr>
          <w:rFonts w:eastAsia="Times New Roman" w:cs="Times New Roman" w:ascii="Times New Roman" w:hAnsi="Times New Roman"/>
          <w:color w:val="2E74B5" w:themeColor="accent1" w:themeShade="bf"/>
          <w:sz w:val="24"/>
          <w:szCs w:val="24"/>
          <w:lang w:eastAsia="fr-FR"/>
        </w:rPr>
        <w:t> :</w:t>
      </w:r>
    </w:p>
    <w:p>
      <w:pPr>
        <w:pStyle w:val="ListParagraph"/>
        <w:rPr>
          <w:rFonts w:ascii="Times New Roman" w:hAnsi="Times New Roman" w:eastAsia="Times New Roman" w:cs="Times New Roman"/>
          <w:color w:val="2E74B5" w:themeColor="accent1" w:themeShade="bf"/>
          <w:sz w:val="24"/>
          <w:szCs w:val="24"/>
          <w:lang w:eastAsia="fr-FR"/>
        </w:rPr>
      </w:pPr>
      <w:r>
        <w:rPr>
          <w:rFonts w:eastAsia="Times New Roman" w:cs="Times New Roman" w:ascii="Times New Roman" w:hAnsi="Times New Roman"/>
          <w:color w:val="2E74B5" w:themeColor="accent1" w:themeShade="bf"/>
          <w:sz w:val="24"/>
          <w:szCs w:val="24"/>
          <w:lang w:eastAsia="fr-FR"/>
        </w:rPr>
      </w:r>
    </w:p>
    <w:p>
      <w:pPr>
        <w:pStyle w:val="Normal"/>
        <w:rPr>
          <w:rFonts w:ascii="Times New Roman" w:hAnsi="Times New Roman" w:eastAsia="Times New Roman" w:cs="Times New Roman"/>
          <w:color w:val="000000"/>
          <w:sz w:val="24"/>
          <w:szCs w:val="24"/>
          <w:lang w:eastAsia="fr-FR"/>
        </w:rPr>
      </w:pPr>
      <w:r>
        <w:rPr>
          <w:rFonts w:eastAsia="Times New Roman" w:cs="Times New Roman" w:ascii="Times New Roman" w:hAnsi="Times New Roman"/>
          <w:color w:val="000000"/>
          <w:sz w:val="24"/>
          <w:szCs w:val="24"/>
          <w:lang w:eastAsia="fr-FR"/>
        </w:rPr>
        <w:t>-8/02/24 : échanges de pratiques à Vire</w:t>
      </w:r>
    </w:p>
    <w:p>
      <w:pPr>
        <w:pStyle w:val="Normal"/>
        <w:rPr>
          <w:rFonts w:ascii="Times New Roman" w:hAnsi="Times New Roman" w:eastAsia="Times New Roman" w:cs="Times New Roman"/>
          <w:color w:val="000000"/>
          <w:sz w:val="24"/>
          <w:szCs w:val="24"/>
          <w:lang w:eastAsia="fr-FR"/>
        </w:rPr>
      </w:pPr>
      <w:r>
        <w:rPr>
          <w:rFonts w:eastAsia="Times New Roman" w:cs="Times New Roman" w:ascii="Times New Roman" w:hAnsi="Times New Roman"/>
          <w:color w:val="000000"/>
          <w:sz w:val="24"/>
          <w:szCs w:val="24"/>
          <w:lang w:eastAsia="fr-FR"/>
        </w:rPr>
        <w:t>- 21/02 : groupe de travail logement insalubre ARS Caen</w:t>
      </w:r>
    </w:p>
    <w:p>
      <w:pPr>
        <w:pStyle w:val="Normal"/>
        <w:spacing w:lineRule="auto" w:line="240" w:before="0" w:after="0"/>
        <w:rPr>
          <w:rFonts w:ascii="Times New Roman" w:hAnsi="Times New Roman" w:eastAsia="Times New Roman" w:cs="Times New Roman"/>
          <w:color w:val="000000"/>
          <w:sz w:val="24"/>
          <w:szCs w:val="24"/>
          <w:lang w:eastAsia="fr-FR"/>
        </w:rPr>
      </w:pPr>
      <w:r>
        <w:rPr>
          <w:rFonts w:eastAsia="Times New Roman" w:cs="Times New Roman" w:ascii="Times New Roman" w:hAnsi="Times New Roman"/>
          <w:color w:val="000000"/>
          <w:sz w:val="24"/>
          <w:szCs w:val="24"/>
          <w:lang w:eastAsia="fr-FR"/>
        </w:rPr>
        <w:t>- 9/04 : groupe de travail ETP Pont Audemer</w:t>
      </w:r>
    </w:p>
    <w:p>
      <w:pPr>
        <w:pStyle w:val="Normal"/>
        <w:spacing w:lineRule="auto" w:line="240" w:before="0" w:after="0"/>
        <w:rPr>
          <w:rFonts w:ascii="Times New Roman" w:hAnsi="Times New Roman" w:eastAsia="Times New Roman" w:cs="Times New Roman"/>
          <w:color w:val="000000"/>
          <w:sz w:val="24"/>
          <w:szCs w:val="24"/>
          <w:lang w:eastAsia="fr-FR"/>
        </w:rPr>
      </w:pPr>
      <w:r>
        <w:rPr>
          <w:rFonts w:eastAsia="Times New Roman" w:cs="Times New Roman" w:ascii="Times New Roman" w:hAnsi="Times New Roman"/>
          <w:color w:val="000000"/>
          <w:sz w:val="24"/>
          <w:szCs w:val="24"/>
          <w:lang w:eastAsia="fr-FR"/>
        </w:rPr>
      </w:r>
    </w:p>
    <w:p>
      <w:pPr>
        <w:pStyle w:val="Normal"/>
        <w:spacing w:lineRule="auto" w:line="240" w:before="0" w:after="0"/>
        <w:rPr>
          <w:rFonts w:ascii="Times New Roman" w:hAnsi="Times New Roman" w:eastAsia="Times New Roman" w:cs="Times New Roman"/>
          <w:color w:val="000000"/>
          <w:sz w:val="24"/>
          <w:szCs w:val="24"/>
          <w:lang w:eastAsia="fr-FR"/>
        </w:rPr>
      </w:pPr>
      <w:r>
        <w:rPr>
          <w:rFonts w:eastAsia="Times New Roman" w:cs="Times New Roman" w:ascii="Times New Roman" w:hAnsi="Times New Roman"/>
          <w:color w:val="000000"/>
          <w:sz w:val="24"/>
          <w:szCs w:val="24"/>
          <w:lang w:eastAsia="fr-FR"/>
        </w:rPr>
        <w:t>-10/04 : COPIL saint Louis</w:t>
      </w:r>
    </w:p>
    <w:p>
      <w:pPr>
        <w:pStyle w:val="Normal"/>
        <w:spacing w:lineRule="auto" w:line="240" w:before="0" w:after="0"/>
        <w:rPr>
          <w:rFonts w:ascii="Times New Roman" w:hAnsi="Times New Roman" w:eastAsia="Times New Roman" w:cs="Times New Roman"/>
          <w:color w:val="000000"/>
          <w:sz w:val="24"/>
          <w:szCs w:val="24"/>
          <w:lang w:eastAsia="fr-FR"/>
        </w:rPr>
      </w:pPr>
      <w:r>
        <w:rPr>
          <w:rFonts w:eastAsia="Times New Roman" w:cs="Times New Roman" w:ascii="Times New Roman" w:hAnsi="Times New Roman"/>
          <w:color w:val="000000"/>
          <w:sz w:val="24"/>
          <w:szCs w:val="24"/>
          <w:lang w:eastAsia="fr-FR"/>
        </w:rPr>
      </w:r>
    </w:p>
    <w:p>
      <w:pPr>
        <w:pStyle w:val="Normal"/>
        <w:spacing w:lineRule="auto" w:line="240" w:before="0" w:after="0"/>
        <w:rPr>
          <w:rFonts w:ascii="Times New Roman" w:hAnsi="Times New Roman" w:eastAsia="Times New Roman" w:cs="Times New Roman"/>
          <w:color w:val="000000"/>
          <w:sz w:val="24"/>
          <w:szCs w:val="24"/>
          <w:lang w:eastAsia="fr-FR"/>
        </w:rPr>
      </w:pPr>
      <w:r>
        <w:rPr>
          <w:rFonts w:eastAsia="Times New Roman" w:cs="Times New Roman" w:ascii="Times New Roman" w:hAnsi="Times New Roman"/>
          <w:color w:val="000000"/>
          <w:sz w:val="24"/>
          <w:szCs w:val="24"/>
          <w:lang w:eastAsia="fr-FR"/>
        </w:rPr>
        <w:t>- 23/04 : Réunion partenaires à Pont d'Ouilly Croix Rouge, secours populaire, Maison des habitants</w:t>
      </w:r>
    </w:p>
    <w:p>
      <w:pPr>
        <w:pStyle w:val="Normal"/>
        <w:spacing w:lineRule="auto" w:line="240" w:before="0" w:after="0"/>
        <w:rPr>
          <w:rFonts w:ascii="Times New Roman" w:hAnsi="Times New Roman" w:eastAsia="Times New Roman" w:cs="Times New Roman"/>
          <w:color w:val="000000"/>
          <w:sz w:val="24"/>
          <w:szCs w:val="24"/>
          <w:lang w:eastAsia="fr-FR"/>
        </w:rPr>
      </w:pPr>
      <w:r>
        <w:rPr>
          <w:rFonts w:eastAsia="Times New Roman" w:cs="Times New Roman" w:ascii="Times New Roman" w:hAnsi="Times New Roman"/>
          <w:color w:val="000000"/>
          <w:sz w:val="24"/>
          <w:szCs w:val="24"/>
          <w:lang w:eastAsia="fr-FR"/>
        </w:rPr>
      </w:r>
    </w:p>
    <w:p>
      <w:pPr>
        <w:pStyle w:val="Normal"/>
        <w:spacing w:lineRule="auto" w:line="240" w:before="0" w:after="0"/>
        <w:rPr>
          <w:rFonts w:ascii="Times New Roman" w:hAnsi="Times New Roman" w:eastAsia="Times New Roman" w:cs="Times New Roman"/>
          <w:color w:val="000000"/>
          <w:sz w:val="24"/>
          <w:szCs w:val="24"/>
          <w:lang w:eastAsia="fr-FR"/>
        </w:rPr>
      </w:pPr>
      <w:r>
        <w:rPr>
          <w:rFonts w:eastAsia="Times New Roman" w:cs="Times New Roman" w:ascii="Times New Roman" w:hAnsi="Times New Roman"/>
          <w:color w:val="000000"/>
          <w:sz w:val="24"/>
          <w:szCs w:val="24"/>
          <w:lang w:eastAsia="fr-FR"/>
        </w:rPr>
        <w:t>- 14/05 :  permanence camion des femmes à Falaise (violences faites aux femmes)</w:t>
      </w:r>
    </w:p>
    <w:p>
      <w:pPr>
        <w:pStyle w:val="Normal"/>
        <w:spacing w:lineRule="auto" w:line="240" w:before="0" w:after="0"/>
        <w:rPr>
          <w:rFonts w:ascii="Times New Roman" w:hAnsi="Times New Roman" w:eastAsia="Times New Roman" w:cs="Times New Roman"/>
          <w:color w:val="000000"/>
          <w:sz w:val="24"/>
          <w:szCs w:val="24"/>
          <w:lang w:eastAsia="fr-FR"/>
        </w:rPr>
      </w:pPr>
      <w:r>
        <w:rPr>
          <w:rFonts w:eastAsia="Times New Roman" w:cs="Times New Roman" w:ascii="Times New Roman" w:hAnsi="Times New Roman"/>
          <w:color w:val="000000"/>
          <w:sz w:val="24"/>
          <w:szCs w:val="24"/>
          <w:lang w:eastAsia="fr-FR"/>
        </w:rPr>
      </w:r>
    </w:p>
    <w:p>
      <w:pPr>
        <w:pStyle w:val="Normal"/>
        <w:spacing w:lineRule="auto" w:line="240" w:before="0" w:after="0"/>
        <w:rPr>
          <w:rFonts w:ascii="Times New Roman" w:hAnsi="Times New Roman" w:eastAsia="Times New Roman" w:cs="Times New Roman"/>
          <w:color w:val="000000"/>
          <w:sz w:val="24"/>
          <w:szCs w:val="24"/>
          <w:lang w:eastAsia="fr-FR"/>
        </w:rPr>
      </w:pPr>
      <w:r>
        <w:rPr>
          <w:rFonts w:eastAsia="Times New Roman" w:cs="Times New Roman" w:ascii="Times New Roman" w:hAnsi="Times New Roman"/>
          <w:color w:val="000000"/>
          <w:sz w:val="24"/>
          <w:szCs w:val="24"/>
          <w:lang w:eastAsia="fr-FR"/>
        </w:rPr>
        <w:t>- 14/06 : journée régionale des PASS ARS Caen</w:t>
      </w:r>
    </w:p>
    <w:p>
      <w:pPr>
        <w:pStyle w:val="Normal"/>
        <w:spacing w:lineRule="auto" w:line="240" w:before="0" w:after="0"/>
        <w:rPr>
          <w:rFonts w:ascii="Times New Roman" w:hAnsi="Times New Roman" w:eastAsia="Times New Roman" w:cs="Times New Roman"/>
          <w:color w:val="000000"/>
          <w:sz w:val="24"/>
          <w:szCs w:val="24"/>
          <w:lang w:eastAsia="fr-FR"/>
        </w:rPr>
      </w:pPr>
      <w:r>
        <w:rPr>
          <w:rFonts w:eastAsia="Times New Roman" w:cs="Times New Roman" w:ascii="Times New Roman" w:hAnsi="Times New Roman"/>
          <w:color w:val="000000"/>
          <w:sz w:val="24"/>
          <w:szCs w:val="24"/>
          <w:lang w:eastAsia="fr-FR"/>
        </w:rPr>
      </w:r>
    </w:p>
    <w:p>
      <w:pPr>
        <w:pStyle w:val="Normal"/>
        <w:spacing w:lineRule="auto" w:line="240" w:before="0" w:after="0"/>
        <w:rPr>
          <w:rFonts w:ascii="Times New Roman" w:hAnsi="Times New Roman" w:eastAsia="Times New Roman" w:cs="Times New Roman"/>
          <w:color w:val="000000"/>
          <w:sz w:val="24"/>
          <w:szCs w:val="24"/>
          <w:lang w:eastAsia="fr-FR"/>
        </w:rPr>
      </w:pPr>
      <w:r>
        <w:rPr>
          <w:rFonts w:eastAsia="Times New Roman" w:cs="Times New Roman" w:ascii="Times New Roman" w:hAnsi="Times New Roman"/>
          <w:color w:val="000000"/>
          <w:sz w:val="24"/>
          <w:szCs w:val="24"/>
          <w:lang w:eastAsia="fr-FR"/>
        </w:rPr>
        <w:t>- 05/11 : échanges de pratiques à Bernay</w:t>
      </w:r>
    </w:p>
    <w:p>
      <w:pPr>
        <w:pStyle w:val="Normal"/>
        <w:spacing w:lineRule="auto" w:line="240" w:before="0" w:after="0"/>
        <w:rPr>
          <w:rFonts w:ascii="Times New Roman" w:hAnsi="Times New Roman" w:eastAsia="Times New Roman" w:cs="Times New Roman"/>
          <w:color w:val="000000"/>
          <w:sz w:val="24"/>
          <w:szCs w:val="24"/>
          <w:lang w:eastAsia="fr-FR"/>
        </w:rPr>
      </w:pPr>
      <w:r>
        <w:rPr>
          <w:rFonts w:eastAsia="Times New Roman" w:cs="Times New Roman" w:ascii="Times New Roman" w:hAnsi="Times New Roman"/>
          <w:color w:val="000000"/>
          <w:sz w:val="24"/>
          <w:szCs w:val="24"/>
          <w:lang w:eastAsia="fr-FR"/>
        </w:rPr>
      </w:r>
    </w:p>
    <w:p>
      <w:pPr>
        <w:pStyle w:val="Normal"/>
        <w:spacing w:lineRule="auto" w:line="240" w:before="0" w:after="0"/>
        <w:rPr>
          <w:rFonts w:ascii="Times New Roman" w:hAnsi="Times New Roman" w:eastAsia="Times New Roman" w:cs="Times New Roman"/>
          <w:color w:val="000000"/>
          <w:sz w:val="24"/>
          <w:szCs w:val="24"/>
          <w:lang w:eastAsia="fr-FR"/>
        </w:rPr>
      </w:pPr>
      <w:r>
        <w:rPr>
          <w:rFonts w:eastAsia="Times New Roman" w:cs="Times New Roman" w:ascii="Times New Roman" w:hAnsi="Times New Roman"/>
          <w:color w:val="000000"/>
          <w:sz w:val="24"/>
          <w:szCs w:val="24"/>
          <w:lang w:eastAsia="fr-FR"/>
        </w:rPr>
        <w:t>-4/12 : Projet Téléconsultations régional à la clinique de la Miséricorde</w:t>
      </w:r>
    </w:p>
    <w:p>
      <w:pPr>
        <w:pStyle w:val="Normal"/>
        <w:widowControl w:val="false"/>
        <w:suppressAutoHyphens w:val="true"/>
        <w:ind w:left="360" w:hanging="0"/>
        <w:textAlignment w:val="baseline"/>
        <w:rPr>
          <w:rFonts w:ascii="Calibri" w:hAnsi="Calibri" w:eastAsia="SimSun" w:cs="Calibri"/>
          <w:bCs/>
          <w:color w:val="0070C0"/>
          <w:kern w:val="2"/>
          <w:sz w:val="32"/>
          <w:szCs w:val="32"/>
        </w:rPr>
      </w:pPr>
      <w:r>
        <w:rPr>
          <w:rFonts w:eastAsia="SimSun" w:cs="Calibri"/>
          <w:bCs/>
          <w:color w:val="0070C0"/>
          <w:kern w:val="2"/>
          <w:sz w:val="32"/>
          <w:szCs w:val="32"/>
        </w:rPr>
      </w:r>
    </w:p>
    <w:p>
      <w:pPr>
        <w:pStyle w:val="ListParagraph"/>
        <w:widowControl w:val="false"/>
        <w:numPr>
          <w:ilvl w:val="0"/>
          <w:numId w:val="8"/>
        </w:numPr>
        <w:suppressAutoHyphens w:val="true"/>
        <w:textAlignment w:val="baseline"/>
        <w:rPr>
          <w:rFonts w:ascii="Calibri" w:hAnsi="Calibri" w:eastAsia="SimSun" w:cs="Calibri"/>
          <w:bCs/>
          <w:color w:val="0070C0"/>
          <w:kern w:val="2"/>
          <w:sz w:val="32"/>
          <w:szCs w:val="32"/>
          <w:u w:val="single"/>
        </w:rPr>
      </w:pPr>
      <w:r>
        <w:rPr>
          <w:rFonts w:eastAsia="SimSun" w:cs="Calibri"/>
          <w:bCs/>
          <w:color w:val="0070C0"/>
          <w:kern w:val="2"/>
          <w:sz w:val="32"/>
          <w:szCs w:val="32"/>
          <w:u w:val="single"/>
        </w:rPr>
        <w:t>Formations suivies par l’équipe</w:t>
      </w:r>
    </w:p>
    <w:p>
      <w:pPr>
        <w:pStyle w:val="Normal"/>
        <w:widowControl w:val="false"/>
        <w:suppressAutoHyphens w:val="true"/>
        <w:textAlignment w:val="baseline"/>
        <w:rPr>
          <w:rFonts w:ascii="Calibri" w:hAnsi="Calibri" w:eastAsia="SimSun" w:cs="Calibri"/>
          <w:bCs/>
          <w:kern w:val="2"/>
          <w:sz w:val="24"/>
          <w:szCs w:val="24"/>
        </w:rPr>
      </w:pPr>
      <w:r>
        <w:rPr>
          <w:rFonts w:eastAsia="SimSun" w:cs="Calibri"/>
          <w:bCs/>
          <w:kern w:val="2"/>
          <w:sz w:val="24"/>
          <w:szCs w:val="24"/>
        </w:rPr>
        <w:t xml:space="preserve">L’ide et l’Assistante sociale ont suivi la formation Education thérapeutique courant 2024. </w:t>
      </w:r>
    </w:p>
    <w:p>
      <w:pPr>
        <w:pStyle w:val="Normal"/>
        <w:widowControl w:val="false"/>
        <w:suppressAutoHyphens w:val="true"/>
        <w:textAlignment w:val="baseline"/>
        <w:rPr>
          <w:rFonts w:ascii="Calibri" w:hAnsi="Calibri" w:eastAsia="SimSun" w:cs="Calibri"/>
          <w:bCs/>
          <w:color w:val="0070C0"/>
          <w:kern w:val="2"/>
          <w:sz w:val="32"/>
          <w:szCs w:val="32"/>
          <w:u w:val="single"/>
        </w:rPr>
      </w:pPr>
      <w:r>
        <w:rPr>
          <w:rFonts w:eastAsia="SimSun" w:cs="Calibri"/>
          <w:bCs/>
          <w:color w:val="0070C0"/>
          <w:kern w:val="2"/>
          <w:sz w:val="32"/>
          <w:szCs w:val="32"/>
          <w:u w:val="single"/>
        </w:rPr>
      </w:r>
    </w:p>
    <w:p>
      <w:pPr>
        <w:pStyle w:val="ListParagraph"/>
        <w:widowControl w:val="false"/>
        <w:numPr>
          <w:ilvl w:val="0"/>
          <w:numId w:val="8"/>
        </w:numPr>
        <w:suppressAutoHyphens w:val="true"/>
        <w:jc w:val="both"/>
        <w:textAlignment w:val="baseline"/>
        <w:rPr>
          <w:rFonts w:ascii="Calibri" w:hAnsi="Calibri" w:eastAsia="SimSun" w:cs="Calibri"/>
          <w:bCs/>
          <w:color w:val="0070C0"/>
          <w:kern w:val="2"/>
          <w:sz w:val="32"/>
          <w:szCs w:val="32"/>
          <w:u w:val="single"/>
        </w:rPr>
      </w:pPr>
      <w:r>
        <w:rPr>
          <w:rFonts w:eastAsia="SimSun" w:cs="Calibri"/>
          <w:bCs/>
          <w:color w:val="0070C0"/>
          <w:kern w:val="2"/>
          <w:sz w:val="32"/>
          <w:szCs w:val="32"/>
          <w:u w:val="single"/>
        </w:rPr>
        <w:t>Objectifs 2024</w:t>
      </w:r>
    </w:p>
    <w:p>
      <w:pPr>
        <w:pStyle w:val="ListParagraph"/>
        <w:widowControl w:val="false"/>
        <w:suppressAutoHyphens w:val="true"/>
        <w:ind w:left="0" w:hanging="0"/>
        <w:jc w:val="both"/>
        <w:textAlignment w:val="baseline"/>
        <w:rPr>
          <w:rFonts w:ascii="Calibri" w:hAnsi="Calibri" w:eastAsia="SimSun" w:cs="Calibri"/>
          <w:b/>
          <w:b/>
          <w:bCs/>
          <w:kern w:val="2"/>
          <w:sz w:val="24"/>
          <w:szCs w:val="24"/>
          <w:u w:val="single"/>
        </w:rPr>
      </w:pPr>
      <w:r>
        <w:rPr>
          <w:rFonts w:eastAsia="SimSun" w:cs="Calibri"/>
          <w:b/>
          <w:bCs/>
          <w:kern w:val="2"/>
          <w:sz w:val="24"/>
          <w:szCs w:val="24"/>
          <w:u w:val="single"/>
        </w:rPr>
      </w:r>
    </w:p>
    <w:p>
      <w:pPr>
        <w:pStyle w:val="ListParagraph"/>
        <w:widowControl w:val="false"/>
        <w:suppressAutoHyphens w:val="true"/>
        <w:ind w:left="0" w:hanging="0"/>
        <w:jc w:val="both"/>
        <w:textAlignment w:val="baseline"/>
        <w:rPr>
          <w:rFonts w:ascii="Calibri" w:hAnsi="Calibri" w:eastAsia="SimSun" w:cs="Calibri"/>
          <w:bCs/>
          <w:color w:val="000000" w:themeColor="text1"/>
          <w:kern w:val="2"/>
          <w:sz w:val="24"/>
          <w:szCs w:val="24"/>
        </w:rPr>
      </w:pPr>
      <w:r>
        <w:rPr>
          <w:rFonts w:eastAsia="SimSun" w:cs="Calibri"/>
          <w:bCs/>
          <w:color w:val="000000" w:themeColor="text1"/>
          <w:kern w:val="2"/>
          <w:sz w:val="24"/>
          <w:szCs w:val="24"/>
        </w:rPr>
        <w:t xml:space="preserve">L’équipe Pluridisciplinaire a atteint les objectifs fixés en 2024 : </w:t>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r>
    </w:p>
    <w:p>
      <w:pPr>
        <w:pStyle w:val="ListParagraph"/>
        <w:widowControl w:val="false"/>
        <w:numPr>
          <w:ilvl w:val="0"/>
          <w:numId w:val="4"/>
        </w:numPr>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t>La reconnaissance de la PASS EN MISSION D’APPUI </w:t>
      </w:r>
    </w:p>
    <w:p>
      <w:pPr>
        <w:pStyle w:val="ListParagraph"/>
        <w:widowControl w:val="false"/>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r>
    </w:p>
    <w:p>
      <w:pPr>
        <w:pStyle w:val="ListParagraph"/>
        <w:widowControl w:val="false"/>
        <w:numPr>
          <w:ilvl w:val="0"/>
          <w:numId w:val="4"/>
        </w:numPr>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t xml:space="preserve">L’adéquation des ressources humaines aux nouvelles missions fixées : </w:t>
      </w:r>
    </w:p>
    <w:p>
      <w:pPr>
        <w:pStyle w:val="ListParagraph"/>
        <w:widowControl w:val="false"/>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r>
    </w:p>
    <w:p>
      <w:pPr>
        <w:pStyle w:val="ListParagraph"/>
        <w:widowControl w:val="false"/>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t>-L’augmentation du temps de l’Assistante-Sociale en lien avec les nouveaux accords ARS en missions d’appui ;</w:t>
      </w:r>
    </w:p>
    <w:p>
      <w:pPr>
        <w:pStyle w:val="Normal"/>
        <w:widowControl w:val="false"/>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tab/>
        <w:t>-Suppression du poste de secrétariat à compter de novembre 2024</w:t>
      </w:r>
    </w:p>
    <w:p>
      <w:pPr>
        <w:pStyle w:val="ListParagraph"/>
        <w:widowControl w:val="false"/>
        <w:numPr>
          <w:ilvl w:val="0"/>
          <w:numId w:val="9"/>
        </w:numPr>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t>Les objectifs de la file active ont pu être maintenus ;</w:t>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t xml:space="preserve"> </w:t>
      </w:r>
    </w:p>
    <w:p>
      <w:pPr>
        <w:pStyle w:val="ListParagraph"/>
        <w:widowControl w:val="false"/>
        <w:numPr>
          <w:ilvl w:val="0"/>
          <w:numId w:val="9"/>
        </w:numPr>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t xml:space="preserve">La Sensibilisation des équipes en intra-hospitaliers (rencontres pluri-professionnelle) ; et la mise en place de procédures de fonctionnement avec les services de soins. </w:t>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r>
    </w:p>
    <w:p>
      <w:pPr>
        <w:pStyle w:val="ListParagraph"/>
        <w:widowControl w:val="false"/>
        <w:numPr>
          <w:ilvl w:val="0"/>
          <w:numId w:val="9"/>
        </w:numPr>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t>L’Elaboration d’une nouvelle fiche Outil de travail à destination du public accompagnés et des professionnels de terrain en prototype en attente de validation par Mme Tranchant ;</w:t>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r>
    </w:p>
    <w:p>
      <w:pPr>
        <w:pStyle w:val="ListParagraph"/>
        <w:widowControl w:val="false"/>
        <w:numPr>
          <w:ilvl w:val="0"/>
          <w:numId w:val="9"/>
        </w:numPr>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t>La Création d’une fiche navette harmonisée pour les professionnels de la PASS et le service des admissions du CH FALAISE ;</w:t>
      </w:r>
    </w:p>
    <w:p>
      <w:pPr>
        <w:pStyle w:val="ListParagraph"/>
        <w:rPr>
          <w:rFonts w:ascii="Calibri" w:hAnsi="Calibri" w:eastAsia="SimSun" w:cs="Calibri"/>
          <w:bCs/>
          <w:kern w:val="2"/>
          <w:sz w:val="24"/>
          <w:szCs w:val="24"/>
        </w:rPr>
      </w:pPr>
      <w:r>
        <w:rPr>
          <w:rFonts w:eastAsia="SimSun" w:cs="Calibri"/>
          <w:bCs/>
          <w:kern w:val="2"/>
          <w:sz w:val="24"/>
          <w:szCs w:val="24"/>
        </w:rPr>
      </w:r>
    </w:p>
    <w:p>
      <w:pPr>
        <w:pStyle w:val="ListParagraph"/>
        <w:widowControl w:val="false"/>
        <w:numPr>
          <w:ilvl w:val="0"/>
          <w:numId w:val="9"/>
        </w:numPr>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t>L’actualisation de la fiche PROFIL en interne et création d’un document unique commun aux professionnels de l’équipe PASS ;</w:t>
      </w:r>
    </w:p>
    <w:p>
      <w:pPr>
        <w:pStyle w:val="ListParagraph"/>
        <w:widowControl w:val="false"/>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r>
    </w:p>
    <w:p>
      <w:pPr>
        <w:pStyle w:val="ListParagraph"/>
        <w:widowControl w:val="false"/>
        <w:numPr>
          <w:ilvl w:val="0"/>
          <w:numId w:val="9"/>
        </w:numPr>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t>La Poursuite des partenariats avec la PASS de la Miséricorde avec l’élaboration des parcours de soins</w:t>
      </w:r>
    </w:p>
    <w:p>
      <w:pPr>
        <w:pStyle w:val="ListParagraph"/>
        <w:rPr>
          <w:rFonts w:ascii="Calibri" w:hAnsi="Calibri" w:eastAsia="SimSun" w:cs="Calibri"/>
          <w:bCs/>
          <w:kern w:val="2"/>
          <w:sz w:val="24"/>
          <w:szCs w:val="24"/>
        </w:rPr>
      </w:pPr>
      <w:r>
        <w:rPr>
          <w:rFonts w:eastAsia="SimSun" w:cs="Calibri"/>
          <w:bCs/>
          <w:kern w:val="2"/>
          <w:sz w:val="24"/>
          <w:szCs w:val="24"/>
        </w:rPr>
      </w:r>
    </w:p>
    <w:p>
      <w:pPr>
        <w:pStyle w:val="ListParagraph"/>
        <w:widowControl w:val="false"/>
        <w:numPr>
          <w:ilvl w:val="0"/>
          <w:numId w:val="9"/>
        </w:numPr>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t xml:space="preserve">Montée en charge du recours à la téléconsultation </w:t>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r>
    </w:p>
    <w:p>
      <w:pPr>
        <w:pStyle w:val="ListParagraph"/>
        <w:numPr>
          <w:ilvl w:val="0"/>
          <w:numId w:val="9"/>
        </w:numPr>
        <w:rPr>
          <w:rFonts w:ascii="Calibri" w:hAnsi="Calibri" w:eastAsia="SimSun" w:cs="Calibri"/>
          <w:bCs/>
          <w:kern w:val="2"/>
          <w:sz w:val="24"/>
          <w:szCs w:val="24"/>
        </w:rPr>
      </w:pPr>
      <w:r>
        <w:rPr>
          <w:rFonts w:eastAsia="SimSun" w:cs="Calibri"/>
          <w:bCs/>
          <w:kern w:val="2"/>
          <w:sz w:val="24"/>
          <w:szCs w:val="24"/>
        </w:rPr>
        <w:t xml:space="preserve">Les conventions avec la CPAM du Calvados vont pouvoir aboutir fin 2024. </w:t>
      </w:r>
    </w:p>
    <w:p>
      <w:pPr>
        <w:pStyle w:val="ListParagraph"/>
        <w:widowControl w:val="false"/>
        <w:suppressAutoHyphens w:val="true"/>
        <w:ind w:left="0" w:hanging="0"/>
        <w:jc w:val="both"/>
        <w:textAlignment w:val="baseline"/>
        <w:rPr>
          <w:rFonts w:ascii="Calibri" w:hAnsi="Calibri" w:eastAsia="SimSun" w:cs="Calibri"/>
          <w:bCs/>
          <w:color w:val="0070C0"/>
          <w:kern w:val="2"/>
          <w:sz w:val="32"/>
          <w:szCs w:val="32"/>
          <w:u w:val="single"/>
        </w:rPr>
      </w:pPr>
      <w:r>
        <w:rPr>
          <w:rFonts w:eastAsia="SimSun" w:cs="Calibri"/>
          <w:bCs/>
          <w:color w:val="0070C0"/>
          <w:kern w:val="2"/>
          <w:sz w:val="32"/>
          <w:szCs w:val="32"/>
          <w:u w:val="single"/>
        </w:rPr>
      </w:r>
    </w:p>
    <w:p>
      <w:pPr>
        <w:pStyle w:val="Normal"/>
        <w:widowControl w:val="false"/>
        <w:suppressAutoHyphens w:val="true"/>
        <w:ind w:left="360" w:hanging="0"/>
        <w:jc w:val="both"/>
        <w:textAlignment w:val="baseline"/>
        <w:rPr>
          <w:rFonts w:ascii="Calibri" w:hAnsi="Calibri" w:eastAsia="SimSun" w:cs="Calibri"/>
          <w:bCs/>
          <w:color w:val="0070C0"/>
          <w:kern w:val="2"/>
          <w:sz w:val="32"/>
          <w:szCs w:val="32"/>
          <w:u w:val="single"/>
        </w:rPr>
      </w:pPr>
      <w:r>
        <w:rPr>
          <w:rFonts w:eastAsia="SimSun" w:cs="Calibri"/>
          <w:bCs/>
          <w:color w:val="0070C0"/>
          <w:kern w:val="2"/>
          <w:sz w:val="32"/>
          <w:szCs w:val="32"/>
          <w:u w:val="single"/>
        </w:rPr>
        <w:t>8. PROJETS POUR 2025</w:t>
      </w:r>
    </w:p>
    <w:p>
      <w:pPr>
        <w:pStyle w:val="ListParagraph"/>
        <w:widowControl w:val="false"/>
        <w:numPr>
          <w:ilvl w:val="0"/>
          <w:numId w:val="10"/>
        </w:numPr>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t>Le Développement des conventions avec les pharmacies de ville ; mais pas difficulté recensé cette année</w:t>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r>
    </w:p>
    <w:p>
      <w:pPr>
        <w:pStyle w:val="ListParagraph"/>
        <w:widowControl w:val="false"/>
        <w:numPr>
          <w:ilvl w:val="0"/>
          <w:numId w:val="10"/>
        </w:numPr>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t>La Conception des conventions avec les partenaires (resto du cœur, missions locales …) ;</w:t>
      </w:r>
    </w:p>
    <w:p>
      <w:pPr>
        <w:pStyle w:val="ListParagraph"/>
        <w:rPr>
          <w:rFonts w:ascii="Calibri" w:hAnsi="Calibri" w:eastAsia="SimSun" w:cs="Calibri"/>
          <w:bCs/>
          <w:kern w:val="2"/>
          <w:sz w:val="24"/>
          <w:szCs w:val="24"/>
        </w:rPr>
      </w:pPr>
      <w:r>
        <w:rPr>
          <w:rFonts w:eastAsia="SimSun" w:cs="Calibri"/>
          <w:bCs/>
          <w:kern w:val="2"/>
          <w:sz w:val="24"/>
          <w:szCs w:val="24"/>
        </w:rPr>
      </w:r>
    </w:p>
    <w:p>
      <w:pPr>
        <w:pStyle w:val="ListParagraph"/>
        <w:widowControl w:val="false"/>
        <w:suppressAutoHyphens w:val="true"/>
        <w:ind w:left="1080" w:hanging="0"/>
        <w:jc w:val="both"/>
        <w:textAlignment w:val="baseline"/>
        <w:rPr>
          <w:rFonts w:ascii="Calibri" w:hAnsi="Calibri" w:eastAsia="SimSun" w:cs="Calibri"/>
          <w:bCs/>
          <w:kern w:val="2"/>
          <w:sz w:val="24"/>
          <w:szCs w:val="24"/>
        </w:rPr>
      </w:pPr>
      <w:r>
        <w:rPr>
          <w:rFonts w:eastAsia="SimSun" w:cs="Calibri"/>
          <w:bCs/>
          <w:kern w:val="2"/>
          <w:sz w:val="24"/>
          <w:szCs w:val="24"/>
        </w:rPr>
      </w:r>
    </w:p>
    <w:p>
      <w:pPr>
        <w:pStyle w:val="ListParagraph"/>
        <w:numPr>
          <w:ilvl w:val="0"/>
          <w:numId w:val="10"/>
        </w:numPr>
        <w:rPr>
          <w:rFonts w:ascii="Calibri" w:hAnsi="Calibri" w:eastAsia="SimSun" w:cs="Calibri"/>
          <w:bCs/>
          <w:kern w:val="2"/>
          <w:sz w:val="24"/>
          <w:szCs w:val="24"/>
        </w:rPr>
      </w:pPr>
      <w:r>
        <w:rPr>
          <w:rFonts w:eastAsia="SimSun" w:cs="Calibri"/>
          <w:bCs/>
          <w:kern w:val="2"/>
          <w:sz w:val="24"/>
          <w:szCs w:val="24"/>
        </w:rPr>
        <w:t>Développement du travail de réseau avec la médecine de ville un premier contact a été fait avec un cabinet en ville mais la convention reste à construire.</w:t>
      </w:r>
    </w:p>
    <w:p>
      <w:pPr>
        <w:pStyle w:val="ListParagraph"/>
        <w:rPr>
          <w:rFonts w:ascii="Calibri" w:hAnsi="Calibri" w:eastAsia="SimSun" w:cs="Calibri"/>
          <w:bCs/>
          <w:kern w:val="2"/>
          <w:sz w:val="24"/>
          <w:szCs w:val="24"/>
        </w:rPr>
      </w:pPr>
      <w:r>
        <w:rPr>
          <w:rFonts w:eastAsia="SimSun" w:cs="Calibri"/>
          <w:bCs/>
          <w:kern w:val="2"/>
          <w:sz w:val="24"/>
          <w:szCs w:val="24"/>
        </w:rPr>
      </w:r>
    </w:p>
    <w:p>
      <w:pPr>
        <w:pStyle w:val="ListParagraph"/>
        <w:widowControl w:val="false"/>
        <w:numPr>
          <w:ilvl w:val="0"/>
          <w:numId w:val="10"/>
        </w:numPr>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t>L’élaboration des parcours de soins en interne.</w:t>
      </w:r>
    </w:p>
    <w:p>
      <w:pPr>
        <w:pStyle w:val="ListParagraph"/>
        <w:widowControl w:val="false"/>
        <w:suppressAutoHyphens w:val="true"/>
        <w:ind w:left="0" w:hanging="0"/>
        <w:jc w:val="both"/>
        <w:textAlignment w:val="baseline"/>
        <w:rPr>
          <w:rFonts w:ascii="Calibri" w:hAnsi="Calibri" w:eastAsia="SimSun" w:cs="Calibri"/>
          <w:bCs/>
          <w:kern w:val="2"/>
          <w:sz w:val="24"/>
          <w:szCs w:val="24"/>
        </w:rPr>
      </w:pPr>
      <w:r>
        <w:rPr>
          <w:rFonts w:eastAsia="SimSun" w:cs="Calibri"/>
          <w:bCs/>
          <w:kern w:val="2"/>
          <w:sz w:val="24"/>
          <w:szCs w:val="24"/>
        </w:rPr>
      </w:r>
    </w:p>
    <w:p>
      <w:pPr>
        <w:pStyle w:val="ListParagraph"/>
        <w:numPr>
          <w:ilvl w:val="0"/>
          <w:numId w:val="10"/>
        </w:numPr>
        <w:suppressAutoHyphens w:val="true"/>
        <w:jc w:val="both"/>
        <w:textAlignment w:val="baseline"/>
        <w:rPr>
          <w:rFonts w:ascii="Calibri" w:hAnsi="Calibri" w:eastAsia="SimSun" w:cs="Calibri"/>
          <w:kern w:val="2"/>
          <w:sz w:val="24"/>
          <w:szCs w:val="24"/>
        </w:rPr>
      </w:pPr>
      <w:r>
        <w:rPr>
          <w:rFonts w:eastAsia="SimSun" w:cs="Calibri"/>
          <w:bCs/>
          <w:kern w:val="2"/>
          <w:sz w:val="24"/>
          <w:szCs w:val="24"/>
        </w:rPr>
        <w:t xml:space="preserve">Exploitation </w:t>
      </w:r>
      <w:r>
        <w:rPr>
          <w:rFonts w:eastAsia="SimSun" w:cs="Calibri"/>
          <w:kern w:val="2"/>
          <w:sz w:val="24"/>
          <w:szCs w:val="24"/>
        </w:rPr>
        <w:t>Salle de consultation norm ‘uni ajout salle de consultation IDE ajouté pour faciliter le parcours de santé publique avec la PASS de la miséricorde.</w:t>
      </w:r>
    </w:p>
    <w:p>
      <w:pPr>
        <w:pStyle w:val="ListParagraph"/>
        <w:rPr>
          <w:rFonts w:ascii="Calibri" w:hAnsi="Calibri" w:eastAsia="SimSun" w:cs="Calibri"/>
          <w:kern w:val="2"/>
          <w:sz w:val="24"/>
          <w:szCs w:val="24"/>
        </w:rPr>
      </w:pPr>
      <w:r>
        <w:rPr>
          <w:rFonts w:eastAsia="SimSun" w:cs="Calibri"/>
          <w:kern w:val="2"/>
          <w:sz w:val="24"/>
          <w:szCs w:val="24"/>
        </w:rPr>
      </w:r>
    </w:p>
    <w:p>
      <w:pPr>
        <w:pStyle w:val="ListParagraph"/>
        <w:suppressAutoHyphens w:val="true"/>
        <w:ind w:left="1080" w:hanging="0"/>
        <w:jc w:val="both"/>
        <w:textAlignment w:val="baseline"/>
        <w:rPr>
          <w:rFonts w:ascii="Calibri" w:hAnsi="Calibri" w:eastAsia="SimSun" w:cs="Calibri"/>
          <w:kern w:val="2"/>
          <w:sz w:val="24"/>
          <w:szCs w:val="24"/>
        </w:rPr>
      </w:pPr>
      <w:r>
        <w:rPr>
          <w:rFonts w:eastAsia="SimSun" w:cs="Calibri"/>
          <w:kern w:val="2"/>
          <w:sz w:val="24"/>
          <w:szCs w:val="24"/>
        </w:rPr>
      </w:r>
    </w:p>
    <w:p>
      <w:pPr>
        <w:pStyle w:val="Normal"/>
        <w:widowControl w:val="false"/>
        <w:suppressAutoHyphens w:val="true"/>
        <w:jc w:val="both"/>
        <w:textAlignment w:val="baseline"/>
        <w:rPr>
          <w:rFonts w:ascii="Calibri" w:hAnsi="Calibri" w:eastAsia="SimSun" w:cs="Calibri"/>
          <w:bCs/>
          <w:kern w:val="2"/>
          <w:sz w:val="24"/>
          <w:szCs w:val="24"/>
        </w:rPr>
      </w:pPr>
      <w:r>
        <w:rPr>
          <w:rFonts w:eastAsia="SimSun" w:cs="Calibri"/>
          <w:bCs/>
          <w:kern w:val="2"/>
          <w:sz w:val="24"/>
          <w:szCs w:val="24"/>
        </w:rPr>
      </w:r>
    </w:p>
    <w:p>
      <w:pPr>
        <w:pStyle w:val="Titre1"/>
        <w:jc w:val="both"/>
        <w:rPr>
          <w:rFonts w:eastAsia="SimSun"/>
          <w:b/>
          <w:b/>
          <w:u w:val="single"/>
        </w:rPr>
      </w:pPr>
      <w:bookmarkStart w:id="14" w:name="_Toc157101157"/>
      <w:r>
        <w:rPr>
          <w:rFonts w:eastAsia="SimSun"/>
          <w:b/>
          <w:u w:val="single"/>
        </w:rPr>
        <w:t>Conclusion</w:t>
      </w:r>
      <w:bookmarkEnd w:id="14"/>
    </w:p>
    <w:p>
      <w:pPr>
        <w:pStyle w:val="Normal"/>
        <w:suppressAutoHyphens w:val="true"/>
        <w:ind w:left="360" w:hanging="0"/>
        <w:jc w:val="both"/>
        <w:textAlignment w:val="baseline"/>
        <w:rPr>
          <w:rFonts w:ascii="Calibri" w:hAnsi="Calibri" w:eastAsia="SimSun" w:cs="Calibri"/>
          <w:kern w:val="2"/>
          <w:sz w:val="24"/>
          <w:szCs w:val="24"/>
        </w:rPr>
      </w:pPr>
      <w:r>
        <w:rPr/>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La mission d’appui aux PASS maintient</w:t>
      </w:r>
      <w:bookmarkStart w:id="15" w:name="_GoBack"/>
      <w:bookmarkEnd w:id="15"/>
      <w:r>
        <w:rPr>
          <w:rFonts w:eastAsia="SimSun" w:cs="Calibri"/>
          <w:kern w:val="2"/>
          <w:sz w:val="24"/>
          <w:szCs w:val="24"/>
        </w:rPr>
        <w:t xml:space="preserve"> son activité sur cette année 2024, Elle a rempli les objectifs qui lui avait été fixé en 2023. </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 xml:space="preserve">L’équipe a su être force de proposition au niveau du territoire, du partenariat avec les réseaux déjà implantés. </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Les Parcours en santé en publique se définissent.</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Titre1"/>
        <w:rPr>
          <w:rFonts w:eastAsia="SimSun"/>
          <w:b/>
          <w:b/>
          <w:u w:val="single"/>
        </w:rPr>
      </w:pPr>
      <w:bookmarkStart w:id="16" w:name="_Toc157101158"/>
      <w:r>
        <w:rPr>
          <w:rFonts w:eastAsia="SimSun"/>
          <w:b/>
          <w:u w:val="single"/>
        </w:rPr>
        <w:t>ANNEXE</w:t>
      </w:r>
      <w:bookmarkEnd w:id="16"/>
    </w:p>
    <w:p>
      <w:pPr>
        <w:pStyle w:val="Titre1"/>
        <w:rPr>
          <w:b/>
          <w:b/>
        </w:rPr>
      </w:pPr>
      <w:bookmarkStart w:id="17" w:name="_Toc157101159"/>
      <w:r>
        <w:rPr>
          <w:b/>
        </w:rPr>
        <w:t>Bilan financier 2023</w:t>
      </w:r>
      <w:bookmarkEnd w:id="17"/>
      <w:r>
        <w:rPr>
          <w:b/>
        </w:rPr>
        <w:t xml:space="preserve"> </w:t>
      </w:r>
    </w:p>
    <w:tbl>
      <w:tblPr>
        <w:tblpPr w:bottomFromText="0" w:horzAnchor="margin" w:leftFromText="141" w:rightFromText="141" w:tblpX="0" w:tblpXSpec="center" w:tblpY="369" w:topFromText="0" w:vertAnchor="text"/>
        <w:tblW w:w="10560" w:type="dxa"/>
        <w:jc w:val="center"/>
        <w:tblInd w:w="0" w:type="dxa"/>
        <w:tblLayout w:type="fixed"/>
        <w:tblCellMar>
          <w:top w:w="0" w:type="dxa"/>
          <w:left w:w="70" w:type="dxa"/>
          <w:bottom w:w="0" w:type="dxa"/>
          <w:right w:w="70" w:type="dxa"/>
        </w:tblCellMar>
        <w:tblLook w:firstRow="1" w:noVBand="1" w:lastRow="0" w:firstColumn="1" w:lastColumn="0" w:noHBand="0" w:val="04a0"/>
      </w:tblPr>
      <w:tblGrid>
        <w:gridCol w:w="4429"/>
        <w:gridCol w:w="1211"/>
        <w:gridCol w:w="3502"/>
        <w:gridCol w:w="1417"/>
      </w:tblGrid>
      <w:tr>
        <w:trPr>
          <w:trHeight w:val="615" w:hRule="atLeast"/>
        </w:trPr>
        <w:tc>
          <w:tcPr>
            <w:tcW w:w="5640" w:type="dxa"/>
            <w:gridSpan w:val="2"/>
            <w:tcBorders>
              <w:top w:val="single" w:sz="8" w:space="0" w:color="000000"/>
              <w:left w:val="single" w:sz="8" w:space="0" w:color="000000"/>
              <w:bottom w:val="single" w:sz="4" w:space="0" w:color="000000"/>
              <w:right w:val="single" w:sz="8" w:space="0" w:color="000000"/>
            </w:tcBorders>
            <w:shd w:color="auto" w:fill="auto" w:val="clear"/>
            <w:vAlign w:val="center"/>
          </w:tcPr>
          <w:p>
            <w:pPr>
              <w:pStyle w:val="Normal"/>
              <w:widowControl w:val="false"/>
              <w:spacing w:lineRule="auto" w:line="240" w:before="0" w:after="0"/>
              <w:jc w:val="center"/>
              <w:rPr>
                <w:rFonts w:ascii="Calibri" w:hAnsi="Calibri" w:eastAsia="Times New Roman" w:cs="Calibri"/>
                <w:b/>
                <w:b/>
                <w:bCs/>
                <w:color w:val="000000"/>
                <w:lang w:eastAsia="fr-FR"/>
              </w:rPr>
            </w:pPr>
            <w:r>
              <w:rPr>
                <w:rFonts w:eastAsia="Times New Roman" w:cs="Calibri"/>
                <w:b/>
                <w:bCs/>
                <w:color w:val="000000"/>
                <w:lang w:eastAsia="fr-FR"/>
              </w:rPr>
              <w:t>Charges directes</w:t>
            </w:r>
          </w:p>
        </w:tc>
        <w:tc>
          <w:tcPr>
            <w:tcW w:w="4919" w:type="dxa"/>
            <w:gridSpan w:val="2"/>
            <w:tcBorders>
              <w:top w:val="single" w:sz="8" w:space="0" w:color="000000"/>
              <w:bottom w:val="single" w:sz="4" w:space="0" w:color="000000"/>
              <w:right w:val="single" w:sz="8" w:space="0" w:color="000000"/>
            </w:tcBorders>
            <w:shd w:color="auto" w:fill="auto" w:val="clear"/>
            <w:vAlign w:val="center"/>
          </w:tcPr>
          <w:p>
            <w:pPr>
              <w:pStyle w:val="Normal"/>
              <w:widowControl w:val="false"/>
              <w:spacing w:lineRule="auto" w:line="240" w:before="0" w:after="0"/>
              <w:jc w:val="center"/>
              <w:rPr>
                <w:rFonts w:ascii="Calibri" w:hAnsi="Calibri" w:eastAsia="Times New Roman" w:cs="Calibri"/>
                <w:b/>
                <w:b/>
                <w:bCs/>
                <w:color w:val="000000"/>
                <w:lang w:eastAsia="fr-FR"/>
              </w:rPr>
            </w:pPr>
            <w:r>
              <w:rPr>
                <w:rFonts w:eastAsia="Times New Roman" w:cs="Calibri"/>
                <w:b/>
                <w:bCs/>
                <w:color w:val="000000"/>
                <w:lang w:eastAsia="fr-FR"/>
              </w:rPr>
              <w:t>Recettes</w:t>
            </w:r>
          </w:p>
        </w:tc>
      </w:tr>
      <w:tr>
        <w:trPr>
          <w:trHeight w:val="360" w:hRule="atLeast"/>
        </w:trPr>
        <w:tc>
          <w:tcPr>
            <w:tcW w:w="4429" w:type="dxa"/>
            <w:tcBorders>
              <w:left w:val="single" w:sz="8" w:space="0" w:color="000000"/>
            </w:tcBorders>
            <w:shd w:color="auto" w:fill="auto" w:val="clear"/>
            <w:vAlign w:val="center"/>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T1 - Dépenses de personnel</w:t>
            </w:r>
          </w:p>
        </w:tc>
        <w:tc>
          <w:tcPr>
            <w:tcW w:w="1211" w:type="dxa"/>
            <w:tcBorders>
              <w:right w:val="single" w:sz="8" w:space="0" w:color="000000"/>
            </w:tcBorders>
            <w:shd w:color="auto" w:fill="auto" w:val="clear"/>
            <w:vAlign w:val="center"/>
          </w:tcPr>
          <w:p>
            <w:pPr>
              <w:pStyle w:val="Normal"/>
              <w:widowControl w:val="false"/>
              <w:spacing w:lineRule="auto" w:line="240" w:before="0" w:after="0"/>
              <w:jc w:val="right"/>
              <w:rPr>
                <w:rFonts w:ascii="Calibri" w:hAnsi="Calibri" w:eastAsia="Times New Roman" w:cs="Calibri"/>
                <w:b/>
                <w:b/>
                <w:bCs/>
                <w:color w:val="000000"/>
                <w:lang w:eastAsia="fr-FR"/>
              </w:rPr>
            </w:pPr>
            <w:r>
              <w:rPr>
                <w:rFonts w:eastAsia="Times New Roman" w:cs="Calibri"/>
                <w:b/>
                <w:bCs/>
                <w:color w:val="000000"/>
                <w:lang w:eastAsia="fr-FR"/>
              </w:rPr>
              <w:t>97 119,52</w:t>
            </w:r>
          </w:p>
        </w:tc>
        <w:tc>
          <w:tcPr>
            <w:tcW w:w="3502" w:type="dxa"/>
            <w:tcBorders/>
            <w:shd w:color="auto" w:fill="auto" w:val="clear"/>
            <w:vAlign w:val="center"/>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Enveloppe FIR</w:t>
            </w:r>
          </w:p>
        </w:tc>
        <w:tc>
          <w:tcPr>
            <w:tcW w:w="1417" w:type="dxa"/>
            <w:tcBorders>
              <w:right w:val="single" w:sz="8" w:space="0" w:color="000000"/>
            </w:tcBorders>
            <w:shd w:color="auto" w:fill="auto" w:val="clear"/>
            <w:vAlign w:val="center"/>
          </w:tcPr>
          <w:p>
            <w:pPr>
              <w:pStyle w:val="Normal"/>
              <w:widowControl w:val="false"/>
              <w:spacing w:lineRule="auto" w:line="240" w:before="0" w:after="0"/>
              <w:jc w:val="right"/>
              <w:rPr>
                <w:rFonts w:ascii="Calibri" w:hAnsi="Calibri" w:eastAsia="Times New Roman" w:cs="Calibri"/>
                <w:b/>
                <w:b/>
                <w:bCs/>
                <w:color w:val="000000"/>
                <w:lang w:eastAsia="fr-FR"/>
              </w:rPr>
            </w:pPr>
            <w:r>
              <w:rPr>
                <w:rFonts w:eastAsia="Times New Roman" w:cs="Calibri"/>
                <w:b/>
                <w:bCs/>
                <w:color w:val="000000"/>
                <w:lang w:eastAsia="fr-FR"/>
              </w:rPr>
              <w:t>92 665,00</w:t>
            </w:r>
          </w:p>
        </w:tc>
      </w:tr>
      <w:tr>
        <w:trPr>
          <w:trHeight w:val="360" w:hRule="atLeast"/>
        </w:trPr>
        <w:tc>
          <w:tcPr>
            <w:tcW w:w="4429" w:type="dxa"/>
            <w:tcBorders>
              <w:left w:val="single" w:sz="8" w:space="0" w:color="000000"/>
            </w:tcBorders>
            <w:shd w:color="auto" w:fill="auto" w:val="clear"/>
            <w:vAlign w:val="center"/>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 personnel médical</w:t>
            </w:r>
          </w:p>
        </w:tc>
        <w:tc>
          <w:tcPr>
            <w:tcW w:w="1211" w:type="dxa"/>
            <w:tcBorders>
              <w:right w:val="single" w:sz="8" w:space="0" w:color="000000"/>
            </w:tcBorders>
            <w:shd w:color="auto" w:fill="auto" w:val="clear"/>
            <w:vAlign w:val="center"/>
          </w:tcPr>
          <w:p>
            <w:pPr>
              <w:pStyle w:val="Normal"/>
              <w:widowControl w:val="false"/>
              <w:spacing w:lineRule="auto" w:line="240" w:before="0" w:after="0"/>
              <w:jc w:val="right"/>
              <w:rPr>
                <w:rFonts w:ascii="Calibri" w:hAnsi="Calibri" w:eastAsia="Times New Roman" w:cs="Calibri"/>
                <w:color w:val="000000"/>
                <w:lang w:eastAsia="fr-FR"/>
              </w:rPr>
            </w:pPr>
            <w:r>
              <w:rPr>
                <w:rFonts w:eastAsia="Times New Roman" w:cs="Calibri"/>
                <w:color w:val="000000"/>
                <w:lang w:eastAsia="fr-FR"/>
              </w:rPr>
              <w:t>10 330,46</w:t>
            </w:r>
          </w:p>
        </w:tc>
        <w:tc>
          <w:tcPr>
            <w:tcW w:w="3502" w:type="dxa"/>
            <w:tcBorders/>
            <w:shd w:color="auto" w:fill="auto" w:val="clear"/>
            <w:vAlign w:val="center"/>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 PASS</w:t>
            </w:r>
          </w:p>
        </w:tc>
        <w:tc>
          <w:tcPr>
            <w:tcW w:w="1417" w:type="dxa"/>
            <w:tcBorders>
              <w:right w:val="single" w:sz="8" w:space="0" w:color="000000"/>
            </w:tcBorders>
            <w:shd w:color="auto" w:fill="auto" w:val="clear"/>
            <w:vAlign w:val="center"/>
          </w:tcPr>
          <w:p>
            <w:pPr>
              <w:pStyle w:val="Normal"/>
              <w:widowControl w:val="false"/>
              <w:spacing w:lineRule="auto" w:line="240" w:before="0" w:after="0"/>
              <w:jc w:val="right"/>
              <w:rPr>
                <w:rFonts w:ascii="Calibri" w:hAnsi="Calibri" w:eastAsia="Times New Roman" w:cs="Calibri"/>
                <w:color w:val="000000"/>
                <w:lang w:eastAsia="fr-FR"/>
              </w:rPr>
            </w:pPr>
            <w:r>
              <w:rPr>
                <w:rFonts w:eastAsia="Times New Roman" w:cs="Calibri"/>
                <w:color w:val="000000"/>
                <w:lang w:eastAsia="fr-FR"/>
              </w:rPr>
              <w:t>92 665,00</w:t>
            </w:r>
          </w:p>
        </w:tc>
      </w:tr>
      <w:tr>
        <w:trPr>
          <w:trHeight w:val="360" w:hRule="atLeast"/>
        </w:trPr>
        <w:tc>
          <w:tcPr>
            <w:tcW w:w="4429" w:type="dxa"/>
            <w:tcBorders>
              <w:left w:val="single" w:sz="8" w:space="0" w:color="000000"/>
            </w:tcBorders>
            <w:shd w:color="auto" w:fill="auto" w:val="clear"/>
            <w:vAlign w:val="center"/>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 personnel non médical</w:t>
            </w:r>
          </w:p>
        </w:tc>
        <w:tc>
          <w:tcPr>
            <w:tcW w:w="1211" w:type="dxa"/>
            <w:tcBorders>
              <w:right w:val="single" w:sz="8" w:space="0" w:color="000000"/>
            </w:tcBorders>
            <w:shd w:color="auto" w:fill="auto" w:val="clear"/>
            <w:vAlign w:val="center"/>
          </w:tcPr>
          <w:p>
            <w:pPr>
              <w:pStyle w:val="Normal"/>
              <w:widowControl w:val="false"/>
              <w:spacing w:lineRule="auto" w:line="240" w:before="0" w:after="0"/>
              <w:jc w:val="right"/>
              <w:rPr>
                <w:rFonts w:ascii="Calibri" w:hAnsi="Calibri" w:eastAsia="Times New Roman" w:cs="Calibri"/>
                <w:color w:val="000000"/>
                <w:lang w:eastAsia="fr-FR"/>
              </w:rPr>
            </w:pPr>
            <w:r>
              <w:rPr>
                <w:rFonts w:eastAsia="Times New Roman" w:cs="Calibri"/>
                <w:color w:val="000000"/>
                <w:lang w:eastAsia="fr-FR"/>
              </w:rPr>
              <w:t>86 789,06</w:t>
            </w:r>
          </w:p>
        </w:tc>
        <w:tc>
          <w:tcPr>
            <w:tcW w:w="3502" w:type="dxa"/>
            <w:tcBorders/>
            <w:shd w:color="auto" w:fill="auto" w:val="clear"/>
            <w:vAlign w:val="center"/>
          </w:tcPr>
          <w:p>
            <w:pPr>
              <w:pStyle w:val="Normal"/>
              <w:widowControl w:val="false"/>
              <w:spacing w:lineRule="auto" w:line="240" w:before="0" w:after="0"/>
              <w:jc w:val="right"/>
              <w:rPr>
                <w:rFonts w:ascii="Calibri" w:hAnsi="Calibri" w:eastAsia="Times New Roman" w:cs="Calibri"/>
                <w:color w:val="000000"/>
                <w:lang w:eastAsia="fr-FR"/>
              </w:rPr>
            </w:pPr>
            <w:r>
              <w:rPr>
                <w:rFonts w:eastAsia="Times New Roman" w:cs="Calibri"/>
                <w:color w:val="000000"/>
                <w:lang w:eastAsia="fr-FR"/>
              </w:rPr>
            </w:r>
          </w:p>
        </w:tc>
        <w:tc>
          <w:tcPr>
            <w:tcW w:w="1417" w:type="dxa"/>
            <w:tcBorders>
              <w:right w:val="single" w:sz="8" w:space="0" w:color="000000"/>
            </w:tcBorders>
            <w:shd w:color="auto" w:fill="auto" w:val="clear"/>
            <w:vAlign w:val="center"/>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 </w:t>
            </w:r>
          </w:p>
        </w:tc>
      </w:tr>
      <w:tr>
        <w:trPr>
          <w:trHeight w:val="360" w:hRule="atLeast"/>
        </w:trPr>
        <w:tc>
          <w:tcPr>
            <w:tcW w:w="4429" w:type="dxa"/>
            <w:tcBorders>
              <w:left w:val="single" w:sz="8" w:space="0" w:color="000000"/>
            </w:tcBorders>
            <w:shd w:color="auto" w:fill="auto" w:val="clear"/>
            <w:vAlign w:val="center"/>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T2 - Dépenses médicales</w:t>
            </w:r>
          </w:p>
        </w:tc>
        <w:tc>
          <w:tcPr>
            <w:tcW w:w="1211" w:type="dxa"/>
            <w:tcBorders>
              <w:right w:val="single" w:sz="8" w:space="0" w:color="000000"/>
            </w:tcBorders>
            <w:shd w:color="auto" w:fill="auto" w:val="clear"/>
            <w:vAlign w:val="center"/>
          </w:tcPr>
          <w:p>
            <w:pPr>
              <w:pStyle w:val="Normal"/>
              <w:widowControl w:val="false"/>
              <w:spacing w:lineRule="auto" w:line="240" w:before="0" w:after="0"/>
              <w:jc w:val="right"/>
              <w:rPr>
                <w:rFonts w:ascii="Calibri" w:hAnsi="Calibri" w:eastAsia="Times New Roman" w:cs="Calibri"/>
                <w:b/>
                <w:b/>
                <w:bCs/>
                <w:color w:val="000000"/>
                <w:lang w:eastAsia="fr-FR"/>
              </w:rPr>
            </w:pPr>
            <w:r>
              <w:rPr>
                <w:rFonts w:eastAsia="Times New Roman" w:cs="Calibri"/>
                <w:b/>
                <w:bCs/>
                <w:color w:val="000000"/>
                <w:lang w:eastAsia="fr-FR"/>
              </w:rPr>
              <w:t>239,27</w:t>
            </w:r>
          </w:p>
        </w:tc>
        <w:tc>
          <w:tcPr>
            <w:tcW w:w="3502" w:type="dxa"/>
            <w:tcBorders/>
            <w:shd w:color="auto" w:fill="auto" w:val="clear"/>
            <w:vAlign w:val="center"/>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Subvention renouvelable</w:t>
            </w:r>
          </w:p>
        </w:tc>
        <w:tc>
          <w:tcPr>
            <w:tcW w:w="1417" w:type="dxa"/>
            <w:tcBorders>
              <w:right w:val="single" w:sz="8" w:space="0" w:color="000000"/>
            </w:tcBorders>
            <w:shd w:color="auto" w:fill="auto" w:val="clear"/>
            <w:vAlign w:val="center"/>
          </w:tcPr>
          <w:p>
            <w:pPr>
              <w:pStyle w:val="Normal"/>
              <w:widowControl w:val="false"/>
              <w:spacing w:lineRule="auto" w:line="240" w:before="0" w:after="0"/>
              <w:jc w:val="right"/>
              <w:rPr>
                <w:rFonts w:ascii="Calibri" w:hAnsi="Calibri" w:eastAsia="Times New Roman" w:cs="Calibri"/>
                <w:b/>
                <w:b/>
                <w:bCs/>
                <w:color w:val="000000"/>
                <w:lang w:eastAsia="fr-FR"/>
              </w:rPr>
            </w:pPr>
            <w:r>
              <w:rPr>
                <w:rFonts w:eastAsia="Times New Roman" w:cs="Calibri"/>
                <w:b/>
                <w:bCs/>
                <w:color w:val="000000"/>
                <w:lang w:eastAsia="fr-FR"/>
              </w:rPr>
              <w:t>871,92</w:t>
            </w:r>
          </w:p>
        </w:tc>
      </w:tr>
      <w:tr>
        <w:trPr>
          <w:trHeight w:val="360" w:hRule="atLeast"/>
        </w:trPr>
        <w:tc>
          <w:tcPr>
            <w:tcW w:w="4429" w:type="dxa"/>
            <w:tcBorders>
              <w:left w:val="single" w:sz="8" w:space="0" w:color="000000"/>
            </w:tcBorders>
            <w:shd w:color="auto" w:fill="auto" w:val="clear"/>
            <w:vAlign w:val="center"/>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T3 -Dépenses gén. et hôtelières</w:t>
            </w:r>
          </w:p>
        </w:tc>
        <w:tc>
          <w:tcPr>
            <w:tcW w:w="1211" w:type="dxa"/>
            <w:tcBorders>
              <w:right w:val="single" w:sz="8" w:space="0" w:color="000000"/>
            </w:tcBorders>
            <w:shd w:color="auto" w:fill="auto" w:val="clear"/>
            <w:vAlign w:val="center"/>
          </w:tcPr>
          <w:p>
            <w:pPr>
              <w:pStyle w:val="Normal"/>
              <w:widowControl w:val="false"/>
              <w:spacing w:lineRule="auto" w:line="240" w:before="0" w:after="0"/>
              <w:jc w:val="right"/>
              <w:rPr>
                <w:rFonts w:ascii="Calibri" w:hAnsi="Calibri" w:eastAsia="Times New Roman" w:cs="Calibri"/>
                <w:b/>
                <w:b/>
                <w:bCs/>
                <w:color w:val="000000"/>
                <w:lang w:eastAsia="fr-FR"/>
              </w:rPr>
            </w:pPr>
            <w:r>
              <w:rPr>
                <w:rFonts w:eastAsia="Times New Roman" w:cs="Calibri"/>
                <w:b/>
                <w:bCs/>
                <w:color w:val="000000"/>
                <w:lang w:eastAsia="fr-FR"/>
              </w:rPr>
              <w:t>218,02</w:t>
            </w:r>
          </w:p>
        </w:tc>
        <w:tc>
          <w:tcPr>
            <w:tcW w:w="3502" w:type="dxa"/>
            <w:tcBorders/>
            <w:shd w:color="auto" w:fill="auto" w:val="clear"/>
            <w:vAlign w:val="center"/>
          </w:tcPr>
          <w:p>
            <w:pPr>
              <w:pStyle w:val="Normal"/>
              <w:widowControl w:val="false"/>
              <w:spacing w:lineRule="auto" w:line="240" w:before="0" w:after="0"/>
              <w:jc w:val="right"/>
              <w:rPr>
                <w:rFonts w:ascii="Calibri" w:hAnsi="Calibri" w:eastAsia="Times New Roman" w:cs="Calibri"/>
                <w:b/>
                <w:b/>
                <w:bCs/>
                <w:color w:val="000000"/>
                <w:lang w:eastAsia="fr-FR"/>
              </w:rPr>
            </w:pPr>
            <w:r>
              <w:rPr>
                <w:rFonts w:eastAsia="Times New Roman" w:cs="Calibri"/>
                <w:b/>
                <w:bCs/>
                <w:color w:val="000000"/>
                <w:lang w:eastAsia="fr-FR"/>
              </w:rPr>
            </w:r>
          </w:p>
        </w:tc>
        <w:tc>
          <w:tcPr>
            <w:tcW w:w="1417" w:type="dxa"/>
            <w:tcBorders>
              <w:right w:val="single" w:sz="8" w:space="0" w:color="000000"/>
            </w:tcBorders>
            <w:shd w:color="auto" w:fill="auto" w:val="clear"/>
            <w:vAlign w:val="center"/>
          </w:tcPr>
          <w:p>
            <w:pPr>
              <w:pStyle w:val="Normal"/>
              <w:widowControl w:val="false"/>
              <w:spacing w:lineRule="auto" w:line="240" w:before="0" w:after="0"/>
              <w:rPr>
                <w:rFonts w:ascii="Calibri" w:hAnsi="Calibri" w:eastAsia="Times New Roman" w:cs="Calibri"/>
                <w:b/>
                <w:b/>
                <w:bCs/>
                <w:color w:val="000000"/>
                <w:lang w:eastAsia="fr-FR"/>
              </w:rPr>
            </w:pPr>
            <w:r>
              <w:rPr>
                <w:rFonts w:eastAsia="Times New Roman" w:cs="Calibri"/>
                <w:b/>
                <w:bCs/>
                <w:color w:val="000000"/>
                <w:lang w:eastAsia="fr-FR"/>
              </w:rPr>
              <w:t> </w:t>
            </w:r>
          </w:p>
        </w:tc>
      </w:tr>
      <w:tr>
        <w:trPr>
          <w:trHeight w:val="360" w:hRule="atLeast"/>
        </w:trPr>
        <w:tc>
          <w:tcPr>
            <w:tcW w:w="4429" w:type="dxa"/>
            <w:tcBorders>
              <w:left w:val="single" w:sz="8" w:space="0" w:color="000000"/>
            </w:tcBorders>
            <w:shd w:color="auto" w:fill="auto" w:val="clear"/>
            <w:vAlign w:val="center"/>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T4 - Charges sur exercices antérieurs</w:t>
            </w:r>
          </w:p>
        </w:tc>
        <w:tc>
          <w:tcPr>
            <w:tcW w:w="1211" w:type="dxa"/>
            <w:tcBorders>
              <w:right w:val="single" w:sz="8" w:space="0" w:color="000000"/>
            </w:tcBorders>
            <w:shd w:color="auto" w:fill="auto" w:val="clear"/>
            <w:vAlign w:val="center"/>
          </w:tcPr>
          <w:p>
            <w:pPr>
              <w:pStyle w:val="Normal"/>
              <w:widowControl w:val="false"/>
              <w:spacing w:lineRule="auto" w:line="240" w:before="0" w:after="0"/>
              <w:jc w:val="right"/>
              <w:rPr>
                <w:rFonts w:ascii="Calibri" w:hAnsi="Calibri" w:eastAsia="Times New Roman" w:cs="Calibri"/>
                <w:b/>
                <w:b/>
                <w:bCs/>
                <w:color w:val="000000"/>
                <w:lang w:eastAsia="fr-FR"/>
              </w:rPr>
            </w:pPr>
            <w:r>
              <w:rPr>
                <w:rFonts w:eastAsia="Times New Roman" w:cs="Calibri"/>
                <w:b/>
                <w:bCs/>
                <w:color w:val="000000"/>
                <w:lang w:eastAsia="fr-FR"/>
              </w:rPr>
              <w:t>1 088,42</w:t>
            </w:r>
          </w:p>
        </w:tc>
        <w:tc>
          <w:tcPr>
            <w:tcW w:w="3502" w:type="dxa"/>
            <w:tcBorders/>
            <w:shd w:color="auto" w:fill="auto" w:val="clear"/>
            <w:vAlign w:val="center"/>
          </w:tcPr>
          <w:p>
            <w:pPr>
              <w:pStyle w:val="Normal"/>
              <w:widowControl w:val="false"/>
              <w:spacing w:lineRule="auto" w:line="240" w:before="0" w:after="0"/>
              <w:jc w:val="right"/>
              <w:rPr>
                <w:rFonts w:ascii="Calibri" w:hAnsi="Calibri" w:eastAsia="Times New Roman" w:cs="Calibri"/>
                <w:b/>
                <w:b/>
                <w:bCs/>
                <w:color w:val="000000"/>
                <w:lang w:eastAsia="fr-FR"/>
              </w:rPr>
            </w:pPr>
            <w:r>
              <w:rPr>
                <w:rFonts w:eastAsia="Times New Roman" w:cs="Calibri"/>
                <w:b/>
                <w:bCs/>
                <w:color w:val="000000"/>
                <w:lang w:eastAsia="fr-FR"/>
              </w:rPr>
            </w:r>
          </w:p>
        </w:tc>
        <w:tc>
          <w:tcPr>
            <w:tcW w:w="1417" w:type="dxa"/>
            <w:tcBorders>
              <w:right w:val="single" w:sz="8" w:space="0" w:color="000000"/>
            </w:tcBorders>
            <w:shd w:color="auto" w:fill="auto" w:val="clear"/>
            <w:vAlign w:val="center"/>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 </w:t>
            </w:r>
          </w:p>
        </w:tc>
      </w:tr>
      <w:tr>
        <w:trPr>
          <w:trHeight w:val="360" w:hRule="atLeast"/>
        </w:trPr>
        <w:tc>
          <w:tcPr>
            <w:tcW w:w="4429" w:type="dxa"/>
            <w:tcBorders>
              <w:left w:val="single" w:sz="8" w:space="0" w:color="000000"/>
            </w:tcBorders>
            <w:shd w:color="auto" w:fill="auto" w:val="clear"/>
            <w:vAlign w:val="center"/>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 </w:t>
            </w:r>
          </w:p>
        </w:tc>
        <w:tc>
          <w:tcPr>
            <w:tcW w:w="1211" w:type="dxa"/>
            <w:tcBorders>
              <w:right w:val="single" w:sz="8" w:space="0" w:color="000000"/>
            </w:tcBorders>
            <w:shd w:color="auto" w:fill="auto" w:val="clear"/>
            <w:vAlign w:val="center"/>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 </w:t>
            </w:r>
          </w:p>
        </w:tc>
        <w:tc>
          <w:tcPr>
            <w:tcW w:w="3502" w:type="dxa"/>
            <w:tcBorders/>
            <w:shd w:color="auto" w:fill="auto" w:val="clear"/>
            <w:vAlign w:val="center"/>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r>
          </w:p>
        </w:tc>
        <w:tc>
          <w:tcPr>
            <w:tcW w:w="1417" w:type="dxa"/>
            <w:tcBorders>
              <w:right w:val="single" w:sz="8" w:space="0" w:color="000000"/>
            </w:tcBorders>
            <w:shd w:color="auto" w:fill="auto" w:val="clear"/>
            <w:vAlign w:val="center"/>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 </w:t>
            </w:r>
          </w:p>
        </w:tc>
      </w:tr>
      <w:tr>
        <w:trPr>
          <w:trHeight w:val="315" w:hRule="atLeast"/>
        </w:trPr>
        <w:tc>
          <w:tcPr>
            <w:tcW w:w="4429" w:type="dxa"/>
            <w:tcBorders>
              <w:left w:val="single" w:sz="8" w:space="0" w:color="000000"/>
              <w:bottom w:val="single" w:sz="8" w:space="0" w:color="000000"/>
            </w:tcBorders>
            <w:shd w:color="auto" w:fill="auto" w:val="clear"/>
            <w:vAlign w:val="center"/>
          </w:tcPr>
          <w:p>
            <w:pPr>
              <w:pStyle w:val="Normal"/>
              <w:widowControl w:val="false"/>
              <w:spacing w:lineRule="auto" w:line="240" w:before="0" w:after="0"/>
              <w:rPr>
                <w:rFonts w:ascii="Calibri" w:hAnsi="Calibri" w:eastAsia="Times New Roman" w:cs="Calibri"/>
                <w:b/>
                <w:b/>
                <w:bCs/>
                <w:color w:val="000000"/>
                <w:lang w:eastAsia="fr-FR"/>
              </w:rPr>
            </w:pPr>
            <w:r>
              <w:rPr>
                <w:rFonts w:eastAsia="Times New Roman" w:cs="Calibri"/>
                <w:b/>
                <w:bCs/>
                <w:color w:val="000000"/>
                <w:lang w:eastAsia="fr-FR"/>
              </w:rPr>
              <w:t>TOTAL DEPENSES</w:t>
            </w:r>
          </w:p>
        </w:tc>
        <w:tc>
          <w:tcPr>
            <w:tcW w:w="1211" w:type="dxa"/>
            <w:tcBorders>
              <w:bottom w:val="single" w:sz="8" w:space="0" w:color="000000"/>
              <w:right w:val="single" w:sz="8" w:space="0" w:color="000000"/>
            </w:tcBorders>
            <w:shd w:color="auto" w:fill="auto" w:val="clear"/>
            <w:vAlign w:val="bottom"/>
          </w:tcPr>
          <w:p>
            <w:pPr>
              <w:pStyle w:val="Normal"/>
              <w:widowControl w:val="false"/>
              <w:spacing w:lineRule="auto" w:line="240" w:before="0" w:after="0"/>
              <w:jc w:val="right"/>
              <w:rPr>
                <w:rFonts w:ascii="Calibri" w:hAnsi="Calibri" w:eastAsia="Times New Roman" w:cs="Calibri"/>
                <w:b/>
                <w:b/>
                <w:bCs/>
                <w:color w:val="000000"/>
                <w:lang w:eastAsia="fr-FR"/>
              </w:rPr>
            </w:pPr>
            <w:r>
              <w:rPr>
                <w:rFonts w:eastAsia="Times New Roman" w:cs="Calibri"/>
                <w:b/>
                <w:bCs/>
                <w:color w:val="000000"/>
                <w:lang w:eastAsia="fr-FR"/>
              </w:rPr>
              <w:t>98 665,23</w:t>
            </w:r>
          </w:p>
        </w:tc>
        <w:tc>
          <w:tcPr>
            <w:tcW w:w="3502" w:type="dxa"/>
            <w:tcBorders>
              <w:bottom w:val="single" w:sz="8" w:space="0" w:color="000000"/>
            </w:tcBorders>
            <w:shd w:color="auto" w:fill="auto" w:val="clear"/>
            <w:vAlign w:val="bottom"/>
          </w:tcPr>
          <w:p>
            <w:pPr>
              <w:pStyle w:val="Normal"/>
              <w:widowControl w:val="false"/>
              <w:spacing w:lineRule="auto" w:line="240" w:before="0" w:after="0"/>
              <w:rPr>
                <w:rFonts w:ascii="Calibri" w:hAnsi="Calibri" w:eastAsia="Times New Roman" w:cs="Calibri"/>
                <w:b/>
                <w:b/>
                <w:bCs/>
                <w:color w:val="000000"/>
                <w:lang w:eastAsia="fr-FR"/>
              </w:rPr>
            </w:pPr>
            <w:r>
              <w:rPr>
                <w:rFonts w:eastAsia="Times New Roman" w:cs="Calibri"/>
                <w:b/>
                <w:bCs/>
                <w:color w:val="000000"/>
                <w:lang w:eastAsia="fr-FR"/>
              </w:rPr>
              <w:t>TOTAL RECETTES</w:t>
            </w:r>
          </w:p>
        </w:tc>
        <w:tc>
          <w:tcPr>
            <w:tcW w:w="1417" w:type="dxa"/>
            <w:tcBorders>
              <w:bottom w:val="single" w:sz="8" w:space="0" w:color="000000"/>
              <w:right w:val="single" w:sz="8" w:space="0" w:color="000000"/>
            </w:tcBorders>
            <w:shd w:color="auto" w:fill="auto" w:val="clear"/>
            <w:vAlign w:val="bottom"/>
          </w:tcPr>
          <w:p>
            <w:pPr>
              <w:pStyle w:val="Normal"/>
              <w:widowControl w:val="false"/>
              <w:spacing w:lineRule="auto" w:line="240" w:before="0" w:after="0"/>
              <w:jc w:val="right"/>
              <w:rPr>
                <w:rFonts w:ascii="Calibri" w:hAnsi="Calibri" w:eastAsia="Times New Roman" w:cs="Calibri"/>
                <w:b/>
                <w:b/>
                <w:bCs/>
                <w:color w:val="000000"/>
                <w:lang w:eastAsia="fr-FR"/>
              </w:rPr>
            </w:pPr>
            <w:r>
              <w:rPr>
                <w:rFonts w:eastAsia="Times New Roman" w:cs="Calibri"/>
                <w:b/>
                <w:bCs/>
                <w:color w:val="000000"/>
                <w:lang w:eastAsia="fr-FR"/>
              </w:rPr>
              <w:t>93 536,92</w:t>
            </w:r>
          </w:p>
        </w:tc>
      </w:tr>
      <w:tr>
        <w:trPr>
          <w:trHeight w:val="315" w:hRule="atLeast"/>
        </w:trPr>
        <w:tc>
          <w:tcPr>
            <w:tcW w:w="4429" w:type="dxa"/>
            <w:tcBorders/>
            <w:shd w:color="auto" w:fill="auto" w:val="clear"/>
            <w:vAlign w:val="center"/>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Charges indirectes (17% Charges directes)</w:t>
            </w:r>
          </w:p>
        </w:tc>
        <w:tc>
          <w:tcPr>
            <w:tcW w:w="1211" w:type="dxa"/>
            <w:tcBorders/>
            <w:shd w:color="auto" w:fill="auto" w:val="clear"/>
            <w:vAlign w:val="center"/>
          </w:tcPr>
          <w:p>
            <w:pPr>
              <w:pStyle w:val="Normal"/>
              <w:widowControl w:val="false"/>
              <w:spacing w:lineRule="auto" w:line="240" w:before="0" w:after="0"/>
              <w:jc w:val="right"/>
              <w:rPr>
                <w:rFonts w:ascii="Calibri" w:hAnsi="Calibri" w:eastAsia="Times New Roman" w:cs="Calibri"/>
                <w:color w:val="000000"/>
                <w:lang w:eastAsia="fr-FR"/>
              </w:rPr>
            </w:pPr>
            <w:r>
              <w:rPr>
                <w:rFonts w:eastAsia="Times New Roman" w:cs="Calibri"/>
                <w:color w:val="000000"/>
                <w:lang w:eastAsia="fr-FR"/>
              </w:rPr>
              <w:t>16 773,00</w:t>
            </w:r>
          </w:p>
        </w:tc>
        <w:tc>
          <w:tcPr>
            <w:tcW w:w="3502" w:type="dxa"/>
            <w:tcBorders/>
            <w:shd w:color="auto" w:fill="auto" w:val="clear"/>
            <w:vAlign w:val="bottom"/>
          </w:tcPr>
          <w:p>
            <w:pPr>
              <w:pStyle w:val="Normal"/>
              <w:widowControl w:val="false"/>
              <w:spacing w:lineRule="auto" w:line="240" w:before="0" w:after="0"/>
              <w:jc w:val="right"/>
              <w:rPr>
                <w:rFonts w:ascii="Calibri" w:hAnsi="Calibri" w:eastAsia="Times New Roman" w:cs="Calibri"/>
                <w:color w:val="000000"/>
                <w:lang w:eastAsia="fr-FR"/>
              </w:rPr>
            </w:pPr>
            <w:r>
              <w:rPr>
                <w:rFonts w:eastAsia="Times New Roman" w:cs="Calibri"/>
                <w:color w:val="000000"/>
                <w:lang w:eastAsia="fr-FR"/>
              </w:rPr>
            </w:r>
          </w:p>
        </w:tc>
        <w:tc>
          <w:tcPr>
            <w:tcW w:w="1417" w:type="dxa"/>
            <w:tcBorders/>
            <w:shd w:color="auto" w:fill="auto" w:val="clear"/>
            <w:vAlign w:val="bottom"/>
          </w:tcPr>
          <w:p>
            <w:pPr>
              <w:pStyle w:val="Normal"/>
              <w:widowControl w:val="false"/>
              <w:spacing w:lineRule="auto" w:line="240" w:before="0" w:after="0"/>
              <w:rPr>
                <w:rFonts w:ascii="Times New Roman" w:hAnsi="Times New Roman" w:eastAsia="Times New Roman" w:cs="Times New Roman"/>
                <w:sz w:val="20"/>
                <w:szCs w:val="20"/>
                <w:lang w:eastAsia="fr-FR"/>
              </w:rPr>
            </w:pPr>
            <w:r>
              <w:rPr>
                <w:rFonts w:eastAsia="Times New Roman" w:cs="Times New Roman" w:ascii="Times New Roman" w:hAnsi="Times New Roman"/>
                <w:sz w:val="20"/>
                <w:szCs w:val="20"/>
                <w:lang w:eastAsia="fr-FR"/>
              </w:rPr>
            </w:r>
          </w:p>
        </w:tc>
      </w:tr>
      <w:tr>
        <w:trPr>
          <w:trHeight w:val="465" w:hRule="atLeast"/>
        </w:trPr>
        <w:tc>
          <w:tcPr>
            <w:tcW w:w="4429" w:type="dxa"/>
            <w:tcBorders>
              <w:top w:val="single" w:sz="8" w:space="0" w:color="000000"/>
              <w:left w:val="single" w:sz="8" w:space="0" w:color="000000"/>
              <w:bottom w:val="single" w:sz="8" w:space="0" w:color="000000"/>
            </w:tcBorders>
            <w:shd w:color="auto" w:fill="auto" w:val="clear"/>
            <w:vAlign w:val="center"/>
          </w:tcPr>
          <w:p>
            <w:pPr>
              <w:pStyle w:val="Normal"/>
              <w:widowControl w:val="false"/>
              <w:spacing w:lineRule="auto" w:line="240" w:before="0" w:after="0"/>
              <w:rPr>
                <w:rFonts w:ascii="Calibri" w:hAnsi="Calibri" w:eastAsia="Times New Roman" w:cs="Calibri"/>
                <w:b/>
                <w:b/>
                <w:bCs/>
                <w:color w:val="000000"/>
                <w:lang w:eastAsia="fr-FR"/>
              </w:rPr>
            </w:pPr>
            <w:r>
              <w:rPr>
                <w:rFonts w:eastAsia="Times New Roman" w:cs="Calibri"/>
                <w:b/>
                <w:bCs/>
                <w:color w:val="000000"/>
                <w:lang w:eastAsia="fr-FR"/>
              </w:rPr>
              <w:t>TOTAL DEPENSES</w:t>
            </w:r>
          </w:p>
        </w:tc>
        <w:tc>
          <w:tcPr>
            <w:tcW w:w="1211" w:type="dxa"/>
            <w:tcBorders>
              <w:top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jc w:val="right"/>
              <w:rPr>
                <w:rFonts w:ascii="Calibri" w:hAnsi="Calibri" w:eastAsia="Times New Roman" w:cs="Calibri"/>
                <w:b/>
                <w:b/>
                <w:bCs/>
                <w:color w:val="000000"/>
                <w:lang w:eastAsia="fr-FR"/>
              </w:rPr>
            </w:pPr>
            <w:r>
              <w:rPr>
                <w:rFonts w:eastAsia="Times New Roman" w:cs="Calibri"/>
                <w:b/>
                <w:bCs/>
                <w:color w:val="000000"/>
                <w:lang w:eastAsia="fr-FR"/>
              </w:rPr>
              <w:t>115 438,23</w:t>
            </w:r>
          </w:p>
        </w:tc>
        <w:tc>
          <w:tcPr>
            <w:tcW w:w="3502" w:type="dxa"/>
            <w:tcBorders>
              <w:top w:val="single" w:sz="8" w:space="0" w:color="000000"/>
              <w:bottom w:val="single" w:sz="8" w:space="0" w:color="000000"/>
            </w:tcBorders>
            <w:shd w:color="auto" w:fill="auto" w:val="clear"/>
            <w:vAlign w:val="center"/>
          </w:tcPr>
          <w:p>
            <w:pPr>
              <w:pStyle w:val="Normal"/>
              <w:widowControl w:val="false"/>
              <w:spacing w:lineRule="auto" w:line="240" w:before="0" w:after="0"/>
              <w:rPr>
                <w:rFonts w:ascii="Calibri" w:hAnsi="Calibri" w:eastAsia="Times New Roman" w:cs="Calibri"/>
                <w:b/>
                <w:b/>
                <w:bCs/>
                <w:color w:val="000000"/>
                <w:lang w:eastAsia="fr-FR"/>
              </w:rPr>
            </w:pPr>
            <w:r>
              <w:rPr>
                <w:rFonts w:eastAsia="Times New Roman" w:cs="Calibri"/>
                <w:b/>
                <w:bCs/>
                <w:color w:val="000000"/>
                <w:lang w:eastAsia="fr-FR"/>
              </w:rPr>
              <w:t>TOTAL RECETTES</w:t>
            </w:r>
          </w:p>
        </w:tc>
        <w:tc>
          <w:tcPr>
            <w:tcW w:w="1417" w:type="dxa"/>
            <w:tcBorders>
              <w:top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jc w:val="right"/>
              <w:rPr>
                <w:rFonts w:ascii="Calibri" w:hAnsi="Calibri" w:eastAsia="Times New Roman" w:cs="Calibri"/>
                <w:b/>
                <w:b/>
                <w:bCs/>
                <w:color w:val="000000"/>
                <w:lang w:eastAsia="fr-FR"/>
              </w:rPr>
            </w:pPr>
            <w:r>
              <w:rPr>
                <w:rFonts w:eastAsia="Times New Roman" w:cs="Calibri"/>
                <w:b/>
                <w:bCs/>
                <w:color w:val="000000"/>
                <w:lang w:eastAsia="fr-FR"/>
              </w:rPr>
              <w:t>93 536,92</w:t>
            </w:r>
          </w:p>
        </w:tc>
      </w:tr>
      <w:tr>
        <w:trPr>
          <w:trHeight w:val="435" w:hRule="atLeast"/>
        </w:trPr>
        <w:tc>
          <w:tcPr>
            <w:tcW w:w="4429" w:type="dxa"/>
            <w:tcBorders>
              <w:left w:val="single" w:sz="8" w:space="0" w:color="000000"/>
              <w:bottom w:val="single" w:sz="8" w:space="0" w:color="000000"/>
            </w:tcBorders>
            <w:shd w:color="auto" w:fill="auto" w:val="clear"/>
            <w:vAlign w:val="center"/>
          </w:tcPr>
          <w:p>
            <w:pPr>
              <w:pStyle w:val="Normal"/>
              <w:widowControl w:val="false"/>
              <w:spacing w:lineRule="auto" w:line="240" w:before="0" w:after="0"/>
              <w:rPr>
                <w:rFonts w:ascii="Calibri" w:hAnsi="Calibri" w:eastAsia="Times New Roman" w:cs="Calibri"/>
                <w:b/>
                <w:b/>
                <w:bCs/>
                <w:color w:val="000000"/>
                <w:lang w:eastAsia="fr-FR"/>
              </w:rPr>
            </w:pPr>
            <w:r>
              <w:rPr>
                <w:rFonts w:eastAsia="Times New Roman" w:cs="Calibri"/>
                <w:b/>
                <w:bCs/>
                <w:color w:val="000000"/>
                <w:lang w:eastAsia="fr-FR"/>
              </w:rPr>
              <w:t>Résultat (Déficit)</w:t>
            </w:r>
          </w:p>
        </w:tc>
        <w:tc>
          <w:tcPr>
            <w:tcW w:w="1211"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jc w:val="right"/>
              <w:rPr>
                <w:rFonts w:ascii="Calibri" w:hAnsi="Calibri" w:eastAsia="Times New Roman" w:cs="Calibri"/>
                <w:b/>
                <w:b/>
                <w:bCs/>
                <w:color w:val="000000"/>
                <w:lang w:eastAsia="fr-FR"/>
              </w:rPr>
            </w:pPr>
            <w:r>
              <w:rPr>
                <w:rFonts w:eastAsia="Times New Roman" w:cs="Calibri"/>
                <w:b/>
                <w:bCs/>
                <w:color w:val="000000"/>
                <w:lang w:eastAsia="fr-FR"/>
              </w:rPr>
              <w:t>-21 901,31</w:t>
            </w:r>
          </w:p>
        </w:tc>
        <w:tc>
          <w:tcPr>
            <w:tcW w:w="3502" w:type="dxa"/>
            <w:tcBorders/>
            <w:shd w:color="auto" w:fill="auto" w:val="clear"/>
            <w:vAlign w:val="bottom"/>
          </w:tcPr>
          <w:p>
            <w:pPr>
              <w:pStyle w:val="Normal"/>
              <w:widowControl w:val="false"/>
              <w:spacing w:lineRule="auto" w:line="240" w:before="0" w:after="0"/>
              <w:jc w:val="right"/>
              <w:rPr>
                <w:rFonts w:ascii="Calibri" w:hAnsi="Calibri" w:eastAsia="Times New Roman" w:cs="Calibri"/>
                <w:b/>
                <w:b/>
                <w:bCs/>
                <w:color w:val="000000"/>
                <w:lang w:eastAsia="fr-FR"/>
              </w:rPr>
            </w:pPr>
            <w:r>
              <w:rPr>
                <w:rFonts w:eastAsia="Times New Roman" w:cs="Calibri"/>
                <w:b/>
                <w:bCs/>
                <w:color w:val="000000"/>
                <w:lang w:eastAsia="fr-FR"/>
              </w:rPr>
            </w:r>
          </w:p>
        </w:tc>
        <w:tc>
          <w:tcPr>
            <w:tcW w:w="1417" w:type="dxa"/>
            <w:tcBorders/>
            <w:shd w:color="auto" w:fill="auto" w:val="clear"/>
            <w:vAlign w:val="bottom"/>
          </w:tcPr>
          <w:p>
            <w:pPr>
              <w:pStyle w:val="Normal"/>
              <w:widowControl w:val="false"/>
              <w:spacing w:lineRule="auto" w:line="240" w:before="0" w:after="0"/>
              <w:rPr>
                <w:rFonts w:ascii="Times New Roman" w:hAnsi="Times New Roman" w:eastAsia="Times New Roman" w:cs="Times New Roman"/>
                <w:sz w:val="20"/>
                <w:szCs w:val="20"/>
                <w:lang w:eastAsia="fr-FR"/>
              </w:rPr>
            </w:pPr>
            <w:r>
              <w:rPr>
                <w:rFonts w:eastAsia="Times New Roman" w:cs="Times New Roman" w:ascii="Times New Roman" w:hAnsi="Times New Roman"/>
                <w:sz w:val="20"/>
                <w:szCs w:val="20"/>
                <w:lang w:eastAsia="fr-FR"/>
              </w:rPr>
            </w:r>
          </w:p>
        </w:tc>
      </w:tr>
    </w:tbl>
    <w:p>
      <w:pPr>
        <w:pStyle w:val="Normal"/>
        <w:rPr>
          <w:rFonts w:ascii="Calibri" w:hAnsi="Calibri" w:eastAsia="SimSun" w:cs="Calibri"/>
          <w:kern w:val="2"/>
          <w:sz w:val="24"/>
          <w:szCs w:val="24"/>
        </w:rPr>
      </w:pPr>
      <w:r>
        <w:rPr/>
      </w:r>
    </w:p>
    <w:p>
      <w:pPr>
        <w:pStyle w:val="Normal"/>
        <w:rPr>
          <w:rFonts w:ascii="Calibri" w:hAnsi="Calibri" w:eastAsia="SimSun" w:cs="Calibri"/>
          <w:kern w:val="2"/>
          <w:sz w:val="24"/>
          <w:szCs w:val="24"/>
        </w:rPr>
      </w:pPr>
      <w:r>
        <w:rPr/>
      </w:r>
    </w:p>
    <w:tbl>
      <w:tblPr>
        <w:tblpPr w:bottomFromText="0" w:horzAnchor="margin" w:leftFromText="141" w:rightFromText="141" w:tblpX="0" w:tblpXSpec="center" w:tblpY="11" w:topFromText="0" w:vertAnchor="text"/>
        <w:tblW w:w="10632" w:type="dxa"/>
        <w:jc w:val="center"/>
        <w:tblInd w:w="0" w:type="dxa"/>
        <w:tblLayout w:type="fixed"/>
        <w:tblCellMar>
          <w:top w:w="0" w:type="dxa"/>
          <w:left w:w="70" w:type="dxa"/>
          <w:bottom w:w="0" w:type="dxa"/>
          <w:right w:w="70" w:type="dxa"/>
        </w:tblCellMar>
        <w:tblLook w:firstRow="1" w:noVBand="1" w:lastRow="0" w:firstColumn="1" w:lastColumn="0" w:noHBand="0" w:val="04a0"/>
      </w:tblPr>
      <w:tblGrid>
        <w:gridCol w:w="3960"/>
        <w:gridCol w:w="1993"/>
        <w:gridCol w:w="3446"/>
        <w:gridCol w:w="1232"/>
      </w:tblGrid>
      <w:tr>
        <w:trPr>
          <w:trHeight w:val="315" w:hRule="atLeast"/>
        </w:trPr>
        <w:tc>
          <w:tcPr>
            <w:tcW w:w="3960"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ETP du bilan financier :</w:t>
            </w:r>
          </w:p>
        </w:tc>
        <w:tc>
          <w:tcPr>
            <w:tcW w:w="1993"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r>
          </w:p>
        </w:tc>
        <w:tc>
          <w:tcPr>
            <w:tcW w:w="3446" w:type="dxa"/>
            <w:tcBorders/>
            <w:shd w:color="auto" w:fill="auto" w:val="clear"/>
            <w:vAlign w:val="bottom"/>
          </w:tcPr>
          <w:p>
            <w:pPr>
              <w:pStyle w:val="Normal"/>
              <w:widowControl w:val="false"/>
              <w:spacing w:lineRule="auto" w:line="240" w:before="0" w:after="0"/>
              <w:rPr>
                <w:rFonts w:ascii="Times New Roman" w:hAnsi="Times New Roman" w:eastAsia="Times New Roman" w:cs="Times New Roman"/>
                <w:sz w:val="20"/>
                <w:szCs w:val="20"/>
                <w:lang w:eastAsia="fr-FR"/>
              </w:rPr>
            </w:pPr>
            <w:r>
              <w:rPr>
                <w:rFonts w:eastAsia="Times New Roman" w:cs="Times New Roman" w:ascii="Times New Roman" w:hAnsi="Times New Roman"/>
                <w:sz w:val="20"/>
                <w:szCs w:val="20"/>
                <w:lang w:eastAsia="fr-FR"/>
              </w:rPr>
            </w:r>
          </w:p>
        </w:tc>
        <w:tc>
          <w:tcPr>
            <w:tcW w:w="1232" w:type="dxa"/>
            <w:tcBorders/>
            <w:shd w:color="auto" w:fill="auto" w:val="clear"/>
            <w:vAlign w:val="bottom"/>
          </w:tcPr>
          <w:p>
            <w:pPr>
              <w:pStyle w:val="Normal"/>
              <w:widowControl w:val="false"/>
              <w:spacing w:lineRule="auto" w:line="240" w:before="0" w:after="0"/>
              <w:rPr>
                <w:rFonts w:ascii="Times New Roman" w:hAnsi="Times New Roman" w:eastAsia="Times New Roman" w:cs="Times New Roman"/>
                <w:sz w:val="20"/>
                <w:szCs w:val="20"/>
                <w:lang w:eastAsia="fr-FR"/>
              </w:rPr>
            </w:pPr>
            <w:r>
              <w:rPr>
                <w:rFonts w:eastAsia="Times New Roman" w:cs="Times New Roman" w:ascii="Times New Roman" w:hAnsi="Times New Roman"/>
                <w:sz w:val="20"/>
                <w:szCs w:val="20"/>
                <w:lang w:eastAsia="fr-FR"/>
              </w:rPr>
            </w:r>
          </w:p>
        </w:tc>
      </w:tr>
      <w:tr>
        <w:trPr>
          <w:trHeight w:val="315" w:hRule="atLeast"/>
        </w:trPr>
        <w:tc>
          <w:tcPr>
            <w:tcW w:w="3960"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0,10 PH</w:t>
            </w:r>
          </w:p>
        </w:tc>
        <w:tc>
          <w:tcPr>
            <w:tcW w:w="1993"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Dr NIEMCZYK</w:t>
            </w:r>
          </w:p>
        </w:tc>
        <w:tc>
          <w:tcPr>
            <w:tcW w:w="3446"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r>
          </w:p>
        </w:tc>
        <w:tc>
          <w:tcPr>
            <w:tcW w:w="1232" w:type="dxa"/>
            <w:tcBorders/>
            <w:shd w:color="auto" w:fill="auto" w:val="clear"/>
            <w:vAlign w:val="bottom"/>
          </w:tcPr>
          <w:p>
            <w:pPr>
              <w:pStyle w:val="Normal"/>
              <w:widowControl w:val="false"/>
              <w:spacing w:lineRule="auto" w:line="240" w:before="0" w:after="0"/>
              <w:jc w:val="right"/>
              <w:rPr>
                <w:rFonts w:ascii="Calibri" w:hAnsi="Calibri" w:eastAsia="Times New Roman" w:cs="Calibri"/>
                <w:color w:val="000000"/>
                <w:lang w:eastAsia="fr-FR"/>
              </w:rPr>
            </w:pPr>
            <w:r>
              <w:rPr>
                <w:rFonts w:eastAsia="Times New Roman" w:cs="Calibri"/>
                <w:color w:val="000000"/>
                <w:lang w:eastAsia="fr-FR"/>
              </w:rPr>
              <w:t>10 330,46</w:t>
            </w:r>
          </w:p>
        </w:tc>
      </w:tr>
      <w:tr>
        <w:trPr>
          <w:trHeight w:val="300" w:hRule="atLeast"/>
        </w:trPr>
        <w:tc>
          <w:tcPr>
            <w:tcW w:w="3960"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 xml:space="preserve">0,10 cadre </w:t>
            </w:r>
          </w:p>
        </w:tc>
        <w:tc>
          <w:tcPr>
            <w:tcW w:w="1993"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P. ROUX</w:t>
            </w:r>
          </w:p>
        </w:tc>
        <w:tc>
          <w:tcPr>
            <w:tcW w:w="3446"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r>
          </w:p>
        </w:tc>
        <w:tc>
          <w:tcPr>
            <w:tcW w:w="1232" w:type="dxa"/>
            <w:tcBorders/>
            <w:shd w:color="auto" w:fill="auto" w:val="clear"/>
            <w:vAlign w:val="bottom"/>
          </w:tcPr>
          <w:p>
            <w:pPr>
              <w:pStyle w:val="Normal"/>
              <w:widowControl w:val="false"/>
              <w:spacing w:lineRule="auto" w:line="240" w:before="0" w:after="0"/>
              <w:jc w:val="right"/>
              <w:rPr>
                <w:rFonts w:ascii="Calibri" w:hAnsi="Calibri" w:eastAsia="Times New Roman" w:cs="Calibri"/>
                <w:color w:val="000000"/>
                <w:lang w:eastAsia="fr-FR"/>
              </w:rPr>
            </w:pPr>
            <w:r>
              <w:rPr>
                <w:rFonts w:eastAsia="Times New Roman" w:cs="Calibri"/>
                <w:color w:val="000000"/>
                <w:lang w:eastAsia="fr-FR"/>
              </w:rPr>
              <w:t>8 685,22</w:t>
            </w:r>
          </w:p>
        </w:tc>
      </w:tr>
      <w:tr>
        <w:trPr>
          <w:trHeight w:val="300" w:hRule="atLeast"/>
        </w:trPr>
        <w:tc>
          <w:tcPr>
            <w:tcW w:w="3960"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0,20 IDE</w:t>
            </w:r>
          </w:p>
        </w:tc>
        <w:tc>
          <w:tcPr>
            <w:tcW w:w="1993"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I. SEBIRE</w:t>
            </w:r>
          </w:p>
        </w:tc>
        <w:tc>
          <w:tcPr>
            <w:tcW w:w="3446"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r>
          </w:p>
        </w:tc>
        <w:tc>
          <w:tcPr>
            <w:tcW w:w="1232" w:type="dxa"/>
            <w:tcBorders/>
            <w:shd w:color="auto" w:fill="auto" w:val="clear"/>
            <w:vAlign w:val="bottom"/>
          </w:tcPr>
          <w:p>
            <w:pPr>
              <w:pStyle w:val="Normal"/>
              <w:widowControl w:val="false"/>
              <w:spacing w:lineRule="auto" w:line="240" w:before="0" w:after="0"/>
              <w:jc w:val="right"/>
              <w:rPr>
                <w:rFonts w:ascii="Calibri" w:hAnsi="Calibri" w:eastAsia="Times New Roman" w:cs="Calibri"/>
                <w:color w:val="000000"/>
                <w:lang w:eastAsia="fr-FR"/>
              </w:rPr>
            </w:pPr>
            <w:r>
              <w:rPr>
                <w:rFonts w:eastAsia="Times New Roman" w:cs="Calibri"/>
                <w:color w:val="000000"/>
                <w:lang w:eastAsia="fr-FR"/>
              </w:rPr>
              <w:t>13 418,74</w:t>
            </w:r>
          </w:p>
        </w:tc>
      </w:tr>
      <w:tr>
        <w:trPr>
          <w:trHeight w:val="300" w:hRule="atLeast"/>
        </w:trPr>
        <w:tc>
          <w:tcPr>
            <w:tcW w:w="3960"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0,5 ASE</w:t>
            </w:r>
          </w:p>
        </w:tc>
        <w:tc>
          <w:tcPr>
            <w:tcW w:w="1993"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C. GARDIE</w:t>
            </w:r>
          </w:p>
        </w:tc>
        <w:tc>
          <w:tcPr>
            <w:tcW w:w="3446"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r>
          </w:p>
        </w:tc>
        <w:tc>
          <w:tcPr>
            <w:tcW w:w="1232" w:type="dxa"/>
            <w:tcBorders/>
            <w:shd w:color="auto" w:fill="auto" w:val="clear"/>
            <w:vAlign w:val="bottom"/>
          </w:tcPr>
          <w:p>
            <w:pPr>
              <w:pStyle w:val="Normal"/>
              <w:widowControl w:val="false"/>
              <w:spacing w:lineRule="auto" w:line="240" w:before="0" w:after="0"/>
              <w:jc w:val="right"/>
              <w:rPr>
                <w:rFonts w:ascii="Calibri" w:hAnsi="Calibri" w:eastAsia="Times New Roman" w:cs="Calibri"/>
                <w:color w:val="000000"/>
                <w:lang w:eastAsia="fr-FR"/>
              </w:rPr>
            </w:pPr>
            <w:r>
              <w:rPr>
                <w:rFonts w:eastAsia="Times New Roman" w:cs="Calibri"/>
                <w:color w:val="000000"/>
                <w:lang w:eastAsia="fr-FR"/>
              </w:rPr>
              <w:t>20 982,60</w:t>
            </w:r>
          </w:p>
        </w:tc>
      </w:tr>
      <w:tr>
        <w:trPr>
          <w:trHeight w:val="300" w:hRule="atLeast"/>
        </w:trPr>
        <w:tc>
          <w:tcPr>
            <w:tcW w:w="3960"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0,5 AMA</w:t>
            </w:r>
          </w:p>
        </w:tc>
        <w:tc>
          <w:tcPr>
            <w:tcW w:w="1993"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J. BEAUSSIEUX</w:t>
            </w:r>
          </w:p>
        </w:tc>
        <w:tc>
          <w:tcPr>
            <w:tcW w:w="3446"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r>
          </w:p>
        </w:tc>
        <w:tc>
          <w:tcPr>
            <w:tcW w:w="1232" w:type="dxa"/>
            <w:tcBorders/>
            <w:shd w:color="auto" w:fill="auto" w:val="clear"/>
            <w:vAlign w:val="bottom"/>
          </w:tcPr>
          <w:p>
            <w:pPr>
              <w:pStyle w:val="Normal"/>
              <w:widowControl w:val="false"/>
              <w:spacing w:lineRule="auto" w:line="240" w:before="0" w:after="0"/>
              <w:jc w:val="right"/>
              <w:rPr>
                <w:rFonts w:ascii="Calibri" w:hAnsi="Calibri" w:eastAsia="Times New Roman" w:cs="Calibri"/>
                <w:color w:val="000000"/>
                <w:lang w:eastAsia="fr-FR"/>
              </w:rPr>
            </w:pPr>
            <w:r>
              <w:rPr>
                <w:rFonts w:eastAsia="Times New Roman" w:cs="Calibri"/>
                <w:color w:val="000000"/>
                <w:lang w:eastAsia="fr-FR"/>
              </w:rPr>
              <w:t>21 781,77</w:t>
            </w:r>
          </w:p>
        </w:tc>
      </w:tr>
      <w:tr>
        <w:trPr>
          <w:trHeight w:val="300" w:hRule="atLeast"/>
        </w:trPr>
        <w:tc>
          <w:tcPr>
            <w:tcW w:w="3960"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 xml:space="preserve">0,5 AS </w:t>
            </w:r>
          </w:p>
        </w:tc>
        <w:tc>
          <w:tcPr>
            <w:tcW w:w="1993"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t>V. COUSTIC</w:t>
            </w:r>
          </w:p>
        </w:tc>
        <w:tc>
          <w:tcPr>
            <w:tcW w:w="3446" w:type="dxa"/>
            <w:tcBorders/>
            <w:shd w:color="auto" w:fill="auto" w:val="clear"/>
            <w:vAlign w:val="bottom"/>
          </w:tcPr>
          <w:p>
            <w:pPr>
              <w:pStyle w:val="Normal"/>
              <w:widowControl w:val="false"/>
              <w:spacing w:lineRule="auto" w:line="240" w:before="0" w:after="0"/>
              <w:rPr>
                <w:rFonts w:ascii="Calibri" w:hAnsi="Calibri" w:eastAsia="Times New Roman" w:cs="Calibri"/>
                <w:color w:val="000000"/>
                <w:lang w:eastAsia="fr-FR"/>
              </w:rPr>
            </w:pPr>
            <w:r>
              <w:rPr>
                <w:rFonts w:eastAsia="Times New Roman" w:cs="Calibri"/>
                <w:color w:val="000000"/>
                <w:lang w:eastAsia="fr-FR"/>
              </w:rPr>
            </w:r>
          </w:p>
        </w:tc>
        <w:tc>
          <w:tcPr>
            <w:tcW w:w="1232" w:type="dxa"/>
            <w:tcBorders/>
            <w:shd w:color="auto" w:fill="auto" w:val="clear"/>
            <w:vAlign w:val="bottom"/>
          </w:tcPr>
          <w:p>
            <w:pPr>
              <w:pStyle w:val="Normal"/>
              <w:widowControl w:val="false"/>
              <w:spacing w:lineRule="auto" w:line="240" w:before="0" w:after="0"/>
              <w:jc w:val="right"/>
              <w:rPr>
                <w:rFonts w:ascii="Calibri" w:hAnsi="Calibri" w:eastAsia="Times New Roman" w:cs="Calibri"/>
                <w:color w:val="000000"/>
                <w:lang w:eastAsia="fr-FR"/>
              </w:rPr>
            </w:pPr>
            <w:r>
              <w:rPr>
                <w:rFonts w:eastAsia="Times New Roman" w:cs="Calibri"/>
                <w:color w:val="000000"/>
                <w:lang w:eastAsia="fr-FR"/>
              </w:rPr>
              <w:t>21 920,73</w:t>
            </w:r>
          </w:p>
        </w:tc>
      </w:tr>
    </w:tbl>
    <w:p>
      <w:pPr>
        <w:pStyle w:val="Normal"/>
        <w:rPr>
          <w:rFonts w:ascii="Calibri" w:hAnsi="Calibri" w:eastAsia="SimSun" w:cs="Calibri"/>
          <w:kern w:val="2"/>
          <w:sz w:val="24"/>
          <w:szCs w:val="24"/>
        </w:rPr>
      </w:pPr>
      <w:r>
        <w:rPr/>
      </w:r>
    </w:p>
    <w:p>
      <w:pPr>
        <w:pStyle w:val="Normal"/>
        <w:rPr>
          <w:rFonts w:ascii="Calibri" w:hAnsi="Calibri" w:eastAsia="SimSun" w:cs="Calibri"/>
          <w:kern w:val="2"/>
          <w:sz w:val="24"/>
          <w:szCs w:val="24"/>
        </w:rPr>
      </w:pPr>
      <w:r>
        <w:rPr/>
      </w:r>
    </w:p>
    <w:p>
      <w:pPr>
        <w:pStyle w:val="Normal"/>
        <w:rPr>
          <w:rFonts w:ascii="Calibri" w:hAnsi="Calibri" w:eastAsia="SimSun" w:cs="Calibri"/>
          <w:kern w:val="2"/>
          <w:sz w:val="24"/>
          <w:szCs w:val="24"/>
        </w:rPr>
      </w:pPr>
      <w:r>
        <w:rPr/>
      </w:r>
    </w:p>
    <w:p>
      <w:pPr>
        <w:pStyle w:val="Normal"/>
        <w:rPr>
          <w:rFonts w:ascii="Calibri" w:hAnsi="Calibri" w:eastAsia="SimSun" w:cs="Calibri"/>
          <w:kern w:val="2"/>
          <w:sz w:val="24"/>
          <w:szCs w:val="24"/>
        </w:rPr>
      </w:pPr>
      <w:r>
        <w:rPr/>
      </w:r>
    </w:p>
    <w:p>
      <w:pPr>
        <w:pStyle w:val="Normal"/>
        <w:rPr>
          <w:rFonts w:ascii="Calibri" w:hAnsi="Calibri" w:eastAsia="SimSun" w:cs="Calibri"/>
          <w:kern w:val="2"/>
          <w:sz w:val="24"/>
          <w:szCs w:val="24"/>
        </w:rPr>
      </w:pPr>
      <w:r>
        <w:rPr/>
      </w:r>
    </w:p>
    <w:p>
      <w:pPr>
        <w:pStyle w:val="Normal"/>
        <w:rPr>
          <w:rFonts w:ascii="Calibri" w:hAnsi="Calibri" w:eastAsia="SimSun" w:cs="Calibri"/>
          <w:kern w:val="2"/>
          <w:sz w:val="24"/>
          <w:szCs w:val="24"/>
        </w:rPr>
      </w:pPr>
      <w:r>
        <w:rPr/>
        <w:t>Notes</w:t>
      </w:r>
    </w:p>
    <w:p>
      <w:pPr>
        <w:pStyle w:val="Normal"/>
        <w:suppressAutoHyphens w:val="true"/>
        <w:jc w:val="both"/>
        <w:textAlignment w:val="baseline"/>
        <w:rPr>
          <w:rFonts w:ascii="Calibri" w:hAnsi="Calibri" w:eastAsia="SimSun" w:cs="Calibri"/>
          <w:kern w:val="2"/>
          <w:sz w:val="24"/>
          <w:szCs w:val="24"/>
        </w:rPr>
      </w:pPr>
      <w:r>
        <w:rPr>
          <w:rFonts w:eastAsia="SimSun" w:cs="Calibri"/>
          <w:kern w:val="2"/>
          <w:sz w:val="24"/>
          <w:szCs w:val="24"/>
        </w:rPr>
        <w:t>Des permanences sont assurées sur site :</w:t>
      </w:r>
    </w:p>
    <w:p>
      <w:pPr>
        <w:pStyle w:val="ListParagraph"/>
        <w:numPr>
          <w:ilvl w:val="0"/>
          <w:numId w:val="1"/>
        </w:numPr>
        <w:suppressAutoHyphens w:val="true"/>
        <w:jc w:val="both"/>
        <w:textAlignment w:val="baseline"/>
        <w:rPr>
          <w:rFonts w:ascii="Calibri" w:hAnsi="Calibri" w:eastAsia="SimSun" w:cs="Calibri"/>
          <w:kern w:val="2"/>
          <w:sz w:val="24"/>
          <w:szCs w:val="24"/>
        </w:rPr>
      </w:pPr>
      <w:r>
        <w:rPr>
          <w:rFonts w:eastAsia="SimSun" w:cs="Calibri"/>
          <w:kern w:val="2"/>
          <w:sz w:val="24"/>
          <w:szCs w:val="24"/>
        </w:rPr>
        <w:t>A St Pierre en Auge : un lundi/2.</w:t>
      </w:r>
    </w:p>
    <w:p>
      <w:pPr>
        <w:pStyle w:val="ListParagraph"/>
        <w:numPr>
          <w:ilvl w:val="0"/>
          <w:numId w:val="1"/>
        </w:numPr>
        <w:suppressAutoHyphens w:val="true"/>
        <w:jc w:val="both"/>
        <w:textAlignment w:val="baseline"/>
        <w:rPr>
          <w:rFonts w:ascii="Calibri" w:hAnsi="Calibri" w:eastAsia="SimSun" w:cs="Calibri"/>
          <w:kern w:val="2"/>
          <w:sz w:val="24"/>
          <w:szCs w:val="24"/>
        </w:rPr>
      </w:pPr>
      <w:r>
        <w:rPr>
          <w:rFonts w:eastAsia="SimSun" w:cs="Calibri"/>
          <w:kern w:val="2"/>
          <w:sz w:val="24"/>
          <w:szCs w:val="24"/>
        </w:rPr>
        <w:t xml:space="preserve">Au Secours Populaire au sein des locaux du resto du cœur à Pont d’Ouilly : 1 lundi /2 </w:t>
      </w:r>
    </w:p>
    <w:p>
      <w:pPr>
        <w:pStyle w:val="ListParagraph"/>
        <w:numPr>
          <w:ilvl w:val="0"/>
          <w:numId w:val="1"/>
        </w:numPr>
        <w:suppressAutoHyphens w:val="true"/>
        <w:jc w:val="both"/>
        <w:textAlignment w:val="baseline"/>
        <w:rPr>
          <w:rFonts w:ascii="Calibri" w:hAnsi="Calibri" w:eastAsia="SimSun" w:cs="Calibri"/>
          <w:kern w:val="2"/>
          <w:sz w:val="24"/>
          <w:szCs w:val="24"/>
        </w:rPr>
      </w:pPr>
      <w:r>
        <w:rPr>
          <w:rFonts w:eastAsia="SimSun" w:cs="Calibri"/>
          <w:kern w:val="2"/>
          <w:sz w:val="24"/>
          <w:szCs w:val="24"/>
        </w:rPr>
        <w:t xml:space="preserve">A Falaise au Resto du Cœur : 1 vendredi /2 </w:t>
      </w:r>
    </w:p>
    <w:p>
      <w:pPr>
        <w:pStyle w:val="ListParagraph"/>
        <w:numPr>
          <w:ilvl w:val="0"/>
          <w:numId w:val="1"/>
        </w:numPr>
        <w:suppressAutoHyphens w:val="true"/>
        <w:jc w:val="both"/>
        <w:textAlignment w:val="baseline"/>
        <w:rPr>
          <w:rFonts w:ascii="Calibri" w:hAnsi="Calibri" w:eastAsia="SimSun" w:cs="Calibri"/>
          <w:kern w:val="2"/>
          <w:sz w:val="24"/>
          <w:szCs w:val="24"/>
        </w:rPr>
      </w:pPr>
      <w:r>
        <w:rPr>
          <w:rFonts w:eastAsia="SimSun" w:cs="Calibri"/>
          <w:kern w:val="2"/>
          <w:sz w:val="24"/>
          <w:szCs w:val="24"/>
        </w:rPr>
      </w:r>
    </w:p>
    <w:p>
      <w:pPr>
        <w:pStyle w:val="Normal"/>
        <w:spacing w:before="0" w:after="160"/>
        <w:rPr>
          <w:rFonts w:ascii="Calibri" w:hAnsi="Calibri" w:eastAsia="SimSun" w:cs="Calibri"/>
          <w:kern w:val="2"/>
          <w:sz w:val="24"/>
          <w:szCs w:val="24"/>
        </w:rPr>
      </w:pPr>
      <w:r>
        <w:rPr/>
      </w:r>
    </w:p>
    <w:sectPr>
      <w:type w:val="continuous"/>
      <w:pgSz w:w="11906" w:h="16838"/>
      <w:pgMar w:left="1417" w:right="1417" w:header="0" w:top="709" w:footer="708" w:bottom="1417" w:gutter="0"/>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Segoe UI">
    <w:charset w:val="00"/>
    <w:family w:val="roman"/>
    <w:pitch w:val="variable"/>
  </w:font>
  <w:font w:name="Liberation Sans">
    <w:altName w:val="Arial"/>
    <w:charset w:val="00"/>
    <w:family w:val="swiss"/>
    <w:pitch w:val="variable"/>
  </w:font>
  <w:font w:name="Calibri">
    <w:charset w:val="01"/>
    <w:family w:val="swiss"/>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969337526"/>
    </w:sdtPr>
    <w:sdtContent>
      <w:p>
        <w:pPr>
          <w:pStyle w:val="Pieddepage"/>
          <w:jc w:val="center"/>
          <w:rPr/>
        </w:pPr>
        <w:r>
          <w:rPr/>
          <w:fldChar w:fldCharType="begin"/>
        </w:r>
        <w:r>
          <w:rPr/>
          <w:instrText> PAGE </w:instrText>
        </w:r>
        <w:r>
          <w:rPr/>
          <w:fldChar w:fldCharType="separate"/>
        </w:r>
        <w:r>
          <w:rPr/>
          <w:t>11</w:t>
        </w:r>
        <w:r>
          <w:rPr/>
          <w:fldChar w:fldCharType="end"/>
        </w:r>
      </w:p>
      <w:p>
        <w:pPr>
          <w:pStyle w:val="Pieddepage"/>
          <w:rPr/>
        </w:pPr>
        <w:r>
          <w:rPr/>
        </w:r>
      </w:p>
    </w:sdtContent>
  </w:sdt>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0"/>
        </w:tabs>
        <w:ind w:left="720" w:hanging="360"/>
      </w:pPr>
      <w:rPr>
        <w:rFonts w:ascii="Calibri" w:hAnsi="Calibri" w:cs="Calibri"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2">
    <w:lvl w:ilvl="0">
      <w:start w:val="4"/>
      <w:numFmt w:val="decimal"/>
      <w:lvlText w:val="%1"/>
      <w:lvlJc w:val="left"/>
      <w:pPr>
        <w:tabs>
          <w:tab w:val="num" w:pos="0"/>
        </w:tabs>
        <w:ind w:left="435" w:hanging="435"/>
      </w:pPr>
    </w:lvl>
    <w:lvl w:ilvl="1">
      <w:start w:val="2"/>
      <w:numFmt w:val="decimal"/>
      <w:lvlText w:val="%1.%2"/>
      <w:lvlJc w:val="left"/>
      <w:pPr>
        <w:tabs>
          <w:tab w:val="num" w:pos="0"/>
        </w:tabs>
        <w:ind w:left="435" w:hanging="435"/>
      </w:pPr>
      <w:rPr>
        <w:u w:val="single"/>
      </w:rPr>
    </w:lvl>
    <w:lvl w:ilvl="2">
      <w:start w:val="1"/>
      <w:numFmt w:val="decimal"/>
      <w:lvlText w:val="%1.%2.%3"/>
      <w:lvlJc w:val="left"/>
      <w:pPr>
        <w:tabs>
          <w:tab w:val="num" w:pos="0"/>
        </w:tabs>
        <w:ind w:left="720" w:hanging="720"/>
      </w:pPr>
      <w:rPr>
        <w:sz w:val="32"/>
        <w:b w:val="false"/>
        <w:szCs w:val="32"/>
        <w:color w:val="2E74B5"/>
      </w:r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3">
    <w:lvl w:ilvl="0">
      <w:start w:val="1"/>
      <w:numFmt w:val="decimal"/>
      <w:lvlText w:val="%1"/>
      <w:lvlJc w:val="left"/>
      <w:pPr>
        <w:tabs>
          <w:tab w:val="num" w:pos="0"/>
        </w:tabs>
        <w:ind w:left="480" w:hanging="480"/>
      </w:pPr>
      <w:rPr>
        <w:u w:val="none"/>
      </w:rPr>
    </w:lvl>
    <w:lvl w:ilvl="1">
      <w:start w:val="1"/>
      <w:numFmt w:val="decimal"/>
      <w:lvlText w:val="%1.%2"/>
      <w:lvlJc w:val="left"/>
      <w:pPr>
        <w:tabs>
          <w:tab w:val="num" w:pos="0"/>
        </w:tabs>
        <w:ind w:left="480" w:hanging="480"/>
      </w:pPr>
      <w:rPr>
        <w:u w:val="none"/>
      </w:rPr>
    </w:lvl>
    <w:lvl w:ilvl="2">
      <w:start w:val="1"/>
      <w:numFmt w:val="decimal"/>
      <w:lvlText w:val="%1.%2.%3"/>
      <w:lvlJc w:val="left"/>
      <w:pPr>
        <w:tabs>
          <w:tab w:val="num" w:pos="0"/>
        </w:tabs>
        <w:ind w:left="720" w:hanging="720"/>
      </w:pPr>
      <w:rPr>
        <w:u w:val="none"/>
      </w:rPr>
    </w:lvl>
    <w:lvl w:ilvl="3">
      <w:start w:val="1"/>
      <w:numFmt w:val="decimal"/>
      <w:lvlText w:val="%1.%2.%3.%4"/>
      <w:lvlJc w:val="left"/>
      <w:pPr>
        <w:tabs>
          <w:tab w:val="num" w:pos="0"/>
        </w:tabs>
        <w:ind w:left="720" w:hanging="720"/>
      </w:pPr>
      <w:rPr>
        <w:u w:val="none"/>
      </w:rPr>
    </w:lvl>
    <w:lvl w:ilvl="4">
      <w:start w:val="1"/>
      <w:numFmt w:val="decimal"/>
      <w:lvlText w:val="%1.%2.%3.%4.%5"/>
      <w:lvlJc w:val="left"/>
      <w:pPr>
        <w:tabs>
          <w:tab w:val="num" w:pos="0"/>
        </w:tabs>
        <w:ind w:left="1080" w:hanging="1080"/>
      </w:pPr>
      <w:rPr>
        <w:u w:val="none"/>
      </w:rPr>
    </w:lvl>
    <w:lvl w:ilvl="5">
      <w:start w:val="1"/>
      <w:numFmt w:val="decimal"/>
      <w:lvlText w:val="%1.%2.%3.%4.%5.%6"/>
      <w:lvlJc w:val="left"/>
      <w:pPr>
        <w:tabs>
          <w:tab w:val="num" w:pos="0"/>
        </w:tabs>
        <w:ind w:left="1080" w:hanging="1080"/>
      </w:pPr>
      <w:rPr>
        <w:u w:val="none"/>
      </w:rPr>
    </w:lvl>
    <w:lvl w:ilvl="6">
      <w:start w:val="1"/>
      <w:numFmt w:val="decimal"/>
      <w:lvlText w:val="%1.%2.%3.%4.%5.%6.%7"/>
      <w:lvlJc w:val="left"/>
      <w:pPr>
        <w:tabs>
          <w:tab w:val="num" w:pos="0"/>
        </w:tabs>
        <w:ind w:left="1440" w:hanging="1440"/>
      </w:pPr>
      <w:rPr>
        <w:u w:val="none"/>
      </w:rPr>
    </w:lvl>
    <w:lvl w:ilvl="7">
      <w:start w:val="1"/>
      <w:numFmt w:val="decimal"/>
      <w:lvlText w:val="%1.%2.%3.%4.%5.%6.%7.%8"/>
      <w:lvlJc w:val="left"/>
      <w:pPr>
        <w:tabs>
          <w:tab w:val="num" w:pos="0"/>
        </w:tabs>
        <w:ind w:left="1440" w:hanging="1440"/>
      </w:pPr>
      <w:rPr>
        <w:u w:val="none"/>
      </w:rPr>
    </w:lvl>
    <w:lvl w:ilvl="8">
      <w:start w:val="1"/>
      <w:numFmt w:val="decimal"/>
      <w:lvlText w:val="%1.%2.%3.%4.%5.%6.%7.%8.%9"/>
      <w:lvlJc w:val="left"/>
      <w:pPr>
        <w:tabs>
          <w:tab w:val="num" w:pos="0"/>
        </w:tabs>
        <w:ind w:left="1440" w:hanging="1440"/>
      </w:pPr>
      <w:rPr>
        <w:u w:val="none"/>
      </w:r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lvl w:ilvl="0">
      <w:start w:val="3"/>
      <w:numFmt w:val="decimal"/>
      <w:lvlText w:val="%1."/>
      <w:lvlJc w:val="left"/>
      <w:pPr>
        <w:tabs>
          <w:tab w:val="num" w:pos="0"/>
        </w:tabs>
        <w:ind w:left="785" w:hanging="360"/>
      </w:pPr>
    </w:lvl>
    <w:lvl w:ilvl="1">
      <w:start w:val="1"/>
      <w:numFmt w:val="decimal"/>
      <w:lvlText w:val="%1.%2"/>
      <w:lvlJc w:val="left"/>
      <w:pPr>
        <w:tabs>
          <w:tab w:val="num" w:pos="0"/>
        </w:tabs>
        <w:ind w:left="1080" w:hanging="720"/>
      </w:pPr>
    </w:lvl>
    <w:lvl w:ilvl="2">
      <w:start w:val="3"/>
      <w:numFmt w:val="decimal"/>
      <w:lvlText w:val="%1.%2.%3"/>
      <w:lvlJc w:val="left"/>
      <w:pPr>
        <w:tabs>
          <w:tab w:val="num" w:pos="0"/>
        </w:tabs>
        <w:ind w:left="1080" w:hanging="720"/>
      </w:p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800" w:hanging="144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2160" w:hanging="1800"/>
      </w:pPr>
    </w:lvl>
    <w:lvl w:ilvl="7">
      <w:start w:val="1"/>
      <w:numFmt w:val="decimal"/>
      <w:lvlText w:val="%1.%2.%3.%4.%5.%6.%7.%8"/>
      <w:lvlJc w:val="left"/>
      <w:pPr>
        <w:tabs>
          <w:tab w:val="num" w:pos="0"/>
        </w:tabs>
        <w:ind w:left="2520" w:hanging="2160"/>
      </w:pPr>
    </w:lvl>
    <w:lvl w:ilvl="8">
      <w:start w:val="1"/>
      <w:numFmt w:val="decimal"/>
      <w:lvlText w:val="%1.%2.%3.%4.%5.%6.%7.%8.%9"/>
      <w:lvlJc w:val="left"/>
      <w:pPr>
        <w:tabs>
          <w:tab w:val="num" w:pos="0"/>
        </w:tabs>
        <w:ind w:left="2520" w:hanging="2160"/>
      </w:pPr>
    </w:lvl>
  </w:abstractNum>
  <w:abstractNum w:abstractNumId="8">
    <w:lvl w:ilvl="0">
      <w:start w:val="6"/>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11">
    <w:lvl w:ilvl="0">
      <w:start w:val="4"/>
      <w:numFmt w:val="decimal"/>
      <w:lvlText w:val="%1"/>
      <w:lvlJc w:val="left"/>
      <w:pPr>
        <w:tabs>
          <w:tab w:val="num" w:pos="0"/>
        </w:tabs>
        <w:ind w:left="480" w:hanging="480"/>
      </w:pPr>
    </w:lvl>
    <w:lvl w:ilvl="1">
      <w:start w:val="2"/>
      <w:numFmt w:val="decimal"/>
      <w:lvlText w:val="%1.%2"/>
      <w:lvlJc w:val="left"/>
      <w:pPr>
        <w:tabs>
          <w:tab w:val="num" w:pos="0"/>
        </w:tabs>
        <w:ind w:left="480" w:hanging="480"/>
      </w:pPr>
    </w:lvl>
    <w:lvl w:ilvl="2">
      <w:start w:val="3"/>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1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fr-FR"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fr-FR" w:eastAsia="en-US" w:bidi="ar-SA"/>
    </w:rPr>
  </w:style>
  <w:style w:type="paragraph" w:styleId="Titre1">
    <w:name w:val="Heading 1"/>
    <w:basedOn w:val="Normal"/>
    <w:next w:val="Normal"/>
    <w:link w:val="Titre1Car"/>
    <w:uiPriority w:val="9"/>
    <w:qFormat/>
    <w:rsid w:val="00db70c2"/>
    <w:pPr>
      <w:keepNext w:val="true"/>
      <w:keepLines/>
      <w:spacing w:before="240" w:after="0"/>
      <w:outlineLvl w:val="0"/>
    </w:pPr>
    <w:rPr>
      <w:rFonts w:ascii="Calibri Light" w:hAnsi="Calibri Light" w:eastAsia="" w:cs="" w:asciiTheme="majorHAnsi" w:cstheme="majorBidi" w:eastAsiaTheme="majorEastAsia" w:hAnsiTheme="majorHAnsi"/>
      <w:color w:val="2E74B5" w:themeColor="accent1" w:themeShade="bf"/>
      <w:sz w:val="32"/>
      <w:szCs w:val="32"/>
    </w:rPr>
  </w:style>
  <w:style w:type="character" w:styleId="DefaultParagraphFont" w:default="1">
    <w:name w:val="Default Paragraph Font"/>
    <w:uiPriority w:val="1"/>
    <w:semiHidden/>
    <w:unhideWhenUsed/>
    <w:qFormat/>
    <w:rPr/>
  </w:style>
  <w:style w:type="character" w:styleId="TextedebullesCar" w:customStyle="1">
    <w:name w:val="Texte de bulles Car"/>
    <w:basedOn w:val="DefaultParagraphFont"/>
    <w:link w:val="Textedebulles"/>
    <w:uiPriority w:val="99"/>
    <w:semiHidden/>
    <w:qFormat/>
    <w:rsid w:val="004147e9"/>
    <w:rPr>
      <w:rFonts w:ascii="Segoe UI" w:hAnsi="Segoe UI" w:cs="Segoe UI"/>
      <w:sz w:val="18"/>
      <w:szCs w:val="18"/>
    </w:rPr>
  </w:style>
  <w:style w:type="character" w:styleId="EntteCar" w:customStyle="1">
    <w:name w:val="En-tête Car"/>
    <w:basedOn w:val="DefaultParagraphFont"/>
    <w:link w:val="En-tte"/>
    <w:uiPriority w:val="99"/>
    <w:qFormat/>
    <w:rsid w:val="00613553"/>
    <w:rPr/>
  </w:style>
  <w:style w:type="character" w:styleId="PieddepageCar" w:customStyle="1">
    <w:name w:val="Pied de page Car"/>
    <w:basedOn w:val="DefaultParagraphFont"/>
    <w:link w:val="Pieddepage"/>
    <w:uiPriority w:val="99"/>
    <w:qFormat/>
    <w:rsid w:val="00613553"/>
    <w:rPr/>
  </w:style>
  <w:style w:type="character" w:styleId="Titre1Car" w:customStyle="1">
    <w:name w:val="Titre 1 Car"/>
    <w:basedOn w:val="DefaultParagraphFont"/>
    <w:link w:val="Titre1"/>
    <w:uiPriority w:val="9"/>
    <w:qFormat/>
    <w:rsid w:val="00db70c2"/>
    <w:rPr>
      <w:rFonts w:ascii="Calibri Light" w:hAnsi="Calibri Light" w:eastAsia="" w:cs="" w:asciiTheme="majorHAnsi" w:cstheme="majorBidi" w:eastAsiaTheme="majorEastAsia" w:hAnsiTheme="majorHAnsi"/>
      <w:color w:val="2E74B5" w:themeColor="accent1" w:themeShade="bf"/>
      <w:sz w:val="32"/>
      <w:szCs w:val="32"/>
    </w:rPr>
  </w:style>
  <w:style w:type="character" w:styleId="LienInternet">
    <w:name w:val="Lien Internet"/>
    <w:basedOn w:val="DefaultParagraphFont"/>
    <w:uiPriority w:val="99"/>
    <w:unhideWhenUsed/>
    <w:rsid w:val="009e4ec9"/>
    <w:rPr>
      <w:color w:val="0563C1" w:themeColor="hyperlink"/>
      <w:u w:val="single"/>
    </w:rPr>
  </w:style>
  <w:style w:type="character" w:styleId="Sautdindex">
    <w:name w:val="Saut d'index"/>
    <w:qFormat/>
    <w:rPr/>
  </w:style>
  <w:style w:type="paragraph" w:styleId="Titre">
    <w:name w:val="Titre"/>
    <w:basedOn w:val="Normal"/>
    <w:next w:val="Corpsdetexte"/>
    <w:qFormat/>
    <w:pPr>
      <w:keepNext w:val="true"/>
      <w:spacing w:before="240" w:after="120"/>
    </w:pPr>
    <w:rPr>
      <w:rFonts w:ascii="Liberation Sans" w:hAnsi="Liberation Sans" w:eastAsia="Microsoft YaHei" w:cs="Arial"/>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Arial"/>
    </w:rPr>
  </w:style>
  <w:style w:type="paragraph" w:styleId="Lgende">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3d67cc"/>
    <w:pPr>
      <w:spacing w:before="0" w:after="160"/>
      <w:ind w:left="720" w:hanging="0"/>
      <w:contextualSpacing/>
    </w:pPr>
    <w:rPr/>
  </w:style>
  <w:style w:type="paragraph" w:styleId="BalloonText">
    <w:name w:val="Balloon Text"/>
    <w:basedOn w:val="Normal"/>
    <w:link w:val="TextedebullesCar"/>
    <w:uiPriority w:val="99"/>
    <w:semiHidden/>
    <w:unhideWhenUsed/>
    <w:qFormat/>
    <w:rsid w:val="004147e9"/>
    <w:pPr>
      <w:spacing w:lineRule="auto" w:line="240" w:before="0" w:after="0"/>
    </w:pPr>
    <w:rPr>
      <w:rFonts w:ascii="Segoe UI" w:hAnsi="Segoe UI" w:cs="Segoe UI"/>
      <w:sz w:val="18"/>
      <w:szCs w:val="18"/>
    </w:rPr>
  </w:style>
  <w:style w:type="paragraph" w:styleId="Entteetpieddepage">
    <w:name w:val="En-tête et pied de page"/>
    <w:basedOn w:val="Normal"/>
    <w:qFormat/>
    <w:pPr/>
    <w:rPr/>
  </w:style>
  <w:style w:type="paragraph" w:styleId="Entte">
    <w:name w:val="Header"/>
    <w:basedOn w:val="Normal"/>
    <w:link w:val="En-tteCar"/>
    <w:uiPriority w:val="99"/>
    <w:unhideWhenUsed/>
    <w:rsid w:val="00613553"/>
    <w:pPr>
      <w:tabs>
        <w:tab w:val="clear" w:pos="708"/>
        <w:tab w:val="center" w:pos="4536" w:leader="none"/>
        <w:tab w:val="right" w:pos="9072" w:leader="none"/>
      </w:tabs>
      <w:spacing w:lineRule="auto" w:line="240" w:before="0" w:after="0"/>
    </w:pPr>
    <w:rPr/>
  </w:style>
  <w:style w:type="paragraph" w:styleId="Pieddepage">
    <w:name w:val="Footer"/>
    <w:basedOn w:val="Normal"/>
    <w:link w:val="PieddepageCar"/>
    <w:uiPriority w:val="99"/>
    <w:unhideWhenUsed/>
    <w:rsid w:val="00613553"/>
    <w:pPr>
      <w:tabs>
        <w:tab w:val="clear" w:pos="708"/>
        <w:tab w:val="center" w:pos="4536" w:leader="none"/>
        <w:tab w:val="right" w:pos="9072" w:leader="none"/>
      </w:tabs>
      <w:spacing w:lineRule="auto" w:line="240" w:before="0" w:after="0"/>
    </w:pPr>
    <w:rPr/>
  </w:style>
  <w:style w:type="paragraph" w:styleId="TOCHeading">
    <w:name w:val="TOC Heading"/>
    <w:basedOn w:val="Titre1"/>
    <w:next w:val="Normal"/>
    <w:uiPriority w:val="39"/>
    <w:unhideWhenUsed/>
    <w:qFormat/>
    <w:rsid w:val="00db70c2"/>
    <w:pPr/>
    <w:rPr>
      <w:lang w:eastAsia="fr-FR"/>
    </w:rPr>
  </w:style>
  <w:style w:type="paragraph" w:styleId="Tabledesmatiresniveau1">
    <w:name w:val="TOC 1"/>
    <w:basedOn w:val="Normal"/>
    <w:next w:val="Normal"/>
    <w:autoRedefine/>
    <w:uiPriority w:val="39"/>
    <w:unhideWhenUsed/>
    <w:rsid w:val="00c45554"/>
    <w:pPr>
      <w:tabs>
        <w:tab w:val="clear" w:pos="708"/>
        <w:tab w:val="left" w:pos="660" w:leader="none"/>
        <w:tab w:val="right" w:pos="9062" w:leader="dot"/>
      </w:tabs>
      <w:spacing w:before="0" w:after="100"/>
    </w:pPr>
    <w:rPr>
      <w:rFonts w:eastAsia="SimSun"/>
      <w:b/>
    </w:rPr>
  </w:style>
  <w:style w:type="paragraph" w:styleId="Tabledesmatiresniveau2">
    <w:name w:val="TOC 2"/>
    <w:basedOn w:val="Normal"/>
    <w:next w:val="Normal"/>
    <w:autoRedefine/>
    <w:uiPriority w:val="39"/>
    <w:unhideWhenUsed/>
    <w:rsid w:val="00ac1c66"/>
    <w:pPr>
      <w:spacing w:before="0" w:after="100"/>
      <w:ind w:left="220" w:hanging="0"/>
    </w:pPr>
    <w:rPr>
      <w:rFonts w:eastAsia="" w:cs="Times New Roman" w:eastAsiaTheme="minorEastAsia"/>
      <w:lang w:eastAsia="fr-FR"/>
    </w:rPr>
  </w:style>
  <w:style w:type="paragraph" w:styleId="Tabledesmatiresniveau3">
    <w:name w:val="TOC 3"/>
    <w:basedOn w:val="Normal"/>
    <w:next w:val="Normal"/>
    <w:autoRedefine/>
    <w:uiPriority w:val="39"/>
    <w:unhideWhenUsed/>
    <w:rsid w:val="00ac1c66"/>
    <w:pPr>
      <w:spacing w:before="0" w:after="100"/>
      <w:ind w:left="440" w:hanging="0"/>
    </w:pPr>
    <w:rPr>
      <w:rFonts w:eastAsia="" w:cs="Times New Roman" w:eastAsiaTheme="minorEastAsia"/>
      <w:lang w:eastAsia="fr-FR"/>
    </w:rPr>
  </w:style>
  <w:style w:type="paragraph" w:styleId="Contenudecadre">
    <w:name w:val="Contenu de cadre"/>
    <w:basedOn w:val="Normal"/>
    <w:qFormat/>
    <w:pPr/>
    <w:rPr/>
  </w:style>
  <w:style w:type="numbering" w:styleId="NoList" w:default="1">
    <w:name w:val="No List"/>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jpeg"/><Relationship Id="rId5" Type="http://schemas.openxmlformats.org/officeDocument/2006/relationships/image" Target="media/image4.png"/><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8AE8FA-6261-42BA-A375-7069F32651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495</TotalTime>
  <Application>LibreOffice/7.0.6.2$Windows_X86_64 LibreOffice_project/144abb84a525d8e30c9dbbefa69cbbf2d8d4ae3b</Application>
  <AppVersion>15.0000</AppVersion>
  <Pages>15</Pages>
  <Words>2382</Words>
  <Characters>12422</Characters>
  <CharactersWithSpaces>14668</CharactersWithSpaces>
  <Paragraphs>230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2024-12-02T10:42:00Z</dcterms:created>
  <dc:creator>Jessica BEAUSSIEUX</dc:creator>
  <dc:description/>
  <dc:language>fr-FR</dc:language>
  <cp:lastModifiedBy>stéphanie GOMET</cp:lastModifiedBy>
  <cp:lastPrinted>2024-12-16T09:03:00Z</cp:lastPrinted>
  <dcterms:modified xsi:type="dcterms:W3CDTF">2024-12-16T11:27:00Z</dcterms:modified>
  <cp:revision>16</cp:revision>
  <dc:subject/>
  <dc:title/>
</cp:coreProperties>
</file>

<file path=docProps/custom.xml><?xml version="1.0" encoding="utf-8"?>
<Properties xmlns="http://schemas.openxmlformats.org/officeDocument/2006/custom-properties" xmlns:vt="http://schemas.openxmlformats.org/officeDocument/2006/docPropsVTypes"/>
</file>