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9634" w:type="dxa"/>
        <w:tblLook w:val="04A0" w:firstRow="1" w:lastRow="0" w:firstColumn="1" w:lastColumn="0" w:noHBand="0" w:noVBand="1"/>
      </w:tblPr>
      <w:tblGrid>
        <w:gridCol w:w="1838"/>
        <w:gridCol w:w="5670"/>
        <w:gridCol w:w="2126"/>
      </w:tblGrid>
      <w:tr w:rsidR="00E152B2" w:rsidRPr="00762B41" w14:paraId="4451C89F" w14:textId="77777777" w:rsidTr="00762B41">
        <w:trPr>
          <w:trHeight w:val="530"/>
        </w:trPr>
        <w:tc>
          <w:tcPr>
            <w:tcW w:w="1838" w:type="dxa"/>
            <w:vMerge w:val="restart"/>
            <w:tcBorders>
              <w:top w:val="single" w:sz="4" w:space="0" w:color="2F5496"/>
              <w:left w:val="single" w:sz="4" w:space="0" w:color="2F5496"/>
              <w:bottom w:val="single" w:sz="4" w:space="0" w:color="2F5496"/>
              <w:right w:val="single" w:sz="4" w:space="0" w:color="2F5496"/>
            </w:tcBorders>
            <w:vAlign w:val="center"/>
          </w:tcPr>
          <w:p w14:paraId="492EC4D8" w14:textId="77777777" w:rsidR="00E152B2" w:rsidRPr="00762B41" w:rsidRDefault="00E152B2" w:rsidP="00762B41">
            <w:pPr>
              <w:tabs>
                <w:tab w:val="center" w:pos="4536"/>
                <w:tab w:val="right" w:pos="9072"/>
              </w:tabs>
              <w:jc w:val="center"/>
              <w:rPr>
                <w:rFonts w:asciiTheme="majorHAnsi" w:hAnsiTheme="majorHAnsi" w:cstheme="majorHAnsi"/>
                <w:i/>
                <w:sz w:val="22"/>
                <w:szCs w:val="22"/>
                <w:lang w:eastAsia="en-US"/>
              </w:rPr>
            </w:pPr>
            <w:r w:rsidRPr="00762B41">
              <w:rPr>
                <w:rFonts w:asciiTheme="majorHAnsi" w:hAnsiTheme="majorHAnsi" w:cstheme="majorHAnsi"/>
                <w:i/>
                <w:color w:val="808080"/>
                <w:sz w:val="22"/>
                <w:szCs w:val="22"/>
                <w:lang w:eastAsia="en-US"/>
              </w:rPr>
              <w:t>Logo de l’établissement</w:t>
            </w:r>
          </w:p>
        </w:tc>
        <w:tc>
          <w:tcPr>
            <w:tcW w:w="5670" w:type="dxa"/>
            <w:vMerge w:val="restart"/>
            <w:tcBorders>
              <w:top w:val="single" w:sz="4" w:space="0" w:color="2F5496"/>
              <w:left w:val="single" w:sz="4" w:space="0" w:color="2F5496"/>
              <w:right w:val="single" w:sz="4" w:space="0" w:color="2F5496"/>
            </w:tcBorders>
            <w:vAlign w:val="center"/>
          </w:tcPr>
          <w:p w14:paraId="22427C92" w14:textId="77777777" w:rsidR="00E152B2" w:rsidRPr="00762B41" w:rsidRDefault="00E152B2" w:rsidP="00762B41">
            <w:pPr>
              <w:tabs>
                <w:tab w:val="center" w:pos="4536"/>
                <w:tab w:val="right" w:pos="9072"/>
              </w:tabs>
              <w:jc w:val="center"/>
              <w:rPr>
                <w:rFonts w:asciiTheme="majorHAnsi" w:hAnsiTheme="majorHAnsi" w:cstheme="majorHAnsi"/>
                <w:color w:val="2E74B5"/>
                <w:sz w:val="24"/>
                <w:szCs w:val="22"/>
                <w:lang w:eastAsia="en-US"/>
              </w:rPr>
            </w:pPr>
            <w:r w:rsidRPr="00762B41">
              <w:rPr>
                <w:rFonts w:asciiTheme="majorHAnsi" w:hAnsiTheme="majorHAnsi" w:cstheme="majorHAnsi"/>
                <w:color w:val="2E74B5"/>
                <w:sz w:val="24"/>
                <w:szCs w:val="22"/>
                <w:lang w:eastAsia="en-US"/>
              </w:rPr>
              <w:t xml:space="preserve">Modèle-type </w:t>
            </w:r>
          </w:p>
          <w:p w14:paraId="6BB1A84E" w14:textId="1FF21576" w:rsidR="00E152B2" w:rsidRPr="00762B41" w:rsidRDefault="00E152B2" w:rsidP="00762B41">
            <w:pPr>
              <w:tabs>
                <w:tab w:val="center" w:pos="4536"/>
                <w:tab w:val="right" w:pos="9072"/>
              </w:tabs>
              <w:jc w:val="center"/>
              <w:rPr>
                <w:rFonts w:asciiTheme="majorHAnsi" w:hAnsiTheme="majorHAnsi" w:cstheme="majorHAnsi"/>
                <w:color w:val="2E74B5"/>
                <w:sz w:val="24"/>
                <w:szCs w:val="22"/>
                <w:lang w:eastAsia="en-US"/>
              </w:rPr>
            </w:pPr>
            <w:r w:rsidRPr="00762B41">
              <w:rPr>
                <w:rFonts w:asciiTheme="majorHAnsi" w:hAnsiTheme="majorHAnsi" w:cstheme="majorHAnsi"/>
                <w:color w:val="2E74B5"/>
                <w:sz w:val="24"/>
                <w:szCs w:val="22"/>
                <w:lang w:eastAsia="en-US"/>
              </w:rPr>
              <w:t xml:space="preserve">Convention </w:t>
            </w:r>
            <w:r w:rsidR="00887929">
              <w:rPr>
                <w:rFonts w:asciiTheme="majorHAnsi" w:hAnsiTheme="majorHAnsi" w:cstheme="majorHAnsi"/>
                <w:color w:val="2E74B5"/>
                <w:sz w:val="24"/>
                <w:szCs w:val="22"/>
                <w:lang w:eastAsia="en-US"/>
              </w:rPr>
              <w:t>ESSMS PH</w:t>
            </w:r>
            <w:r w:rsidRPr="00762B41">
              <w:rPr>
                <w:rFonts w:asciiTheme="majorHAnsi" w:hAnsiTheme="majorHAnsi" w:cstheme="majorHAnsi"/>
                <w:color w:val="2E74B5"/>
                <w:sz w:val="24"/>
                <w:szCs w:val="22"/>
                <w:lang w:eastAsia="en-US"/>
              </w:rPr>
              <w:t xml:space="preserve"> – Pharmacie d’officine</w:t>
            </w:r>
          </w:p>
          <w:p w14:paraId="1992AC2E" w14:textId="77777777" w:rsidR="00E152B2" w:rsidRPr="00762B41" w:rsidRDefault="00E152B2" w:rsidP="00762B41">
            <w:pPr>
              <w:tabs>
                <w:tab w:val="center" w:pos="4536"/>
                <w:tab w:val="right" w:pos="9072"/>
              </w:tabs>
              <w:jc w:val="center"/>
              <w:rPr>
                <w:rFonts w:asciiTheme="majorHAnsi" w:hAnsiTheme="majorHAnsi" w:cstheme="majorHAnsi"/>
                <w:color w:val="2E74B5"/>
                <w:sz w:val="24"/>
                <w:szCs w:val="22"/>
                <w:lang w:eastAsia="en-US"/>
              </w:rPr>
            </w:pPr>
            <w:r w:rsidRPr="00762B41">
              <w:rPr>
                <w:rFonts w:asciiTheme="majorHAnsi" w:hAnsiTheme="majorHAnsi" w:cstheme="majorHAnsi"/>
                <w:color w:val="2E74B5"/>
                <w:sz w:val="24"/>
                <w:szCs w:val="22"/>
                <w:lang w:eastAsia="en-US"/>
              </w:rPr>
              <w:t>Prestations pharmaceutiques</w:t>
            </w:r>
          </w:p>
        </w:tc>
        <w:tc>
          <w:tcPr>
            <w:tcW w:w="2126" w:type="dxa"/>
            <w:tcBorders>
              <w:top w:val="single" w:sz="4" w:space="0" w:color="2F5496"/>
              <w:left w:val="single" w:sz="4" w:space="0" w:color="2F5496"/>
              <w:bottom w:val="single" w:sz="4" w:space="0" w:color="2F5496"/>
              <w:right w:val="single" w:sz="4" w:space="0" w:color="2F5496"/>
            </w:tcBorders>
            <w:vAlign w:val="center"/>
          </w:tcPr>
          <w:p w14:paraId="2AE40D4B" w14:textId="77777777" w:rsidR="00E152B2" w:rsidRPr="00762B41" w:rsidRDefault="00E152B2" w:rsidP="00762B41">
            <w:pPr>
              <w:tabs>
                <w:tab w:val="center" w:pos="4536"/>
                <w:tab w:val="right" w:pos="9072"/>
              </w:tabs>
              <w:jc w:val="both"/>
              <w:rPr>
                <w:rFonts w:asciiTheme="majorHAnsi" w:hAnsiTheme="majorHAnsi" w:cstheme="majorHAnsi"/>
                <w:i/>
                <w:color w:val="808080"/>
                <w:sz w:val="16"/>
                <w:szCs w:val="16"/>
                <w:lang w:eastAsia="en-US"/>
              </w:rPr>
            </w:pPr>
            <w:r w:rsidRPr="00762B41">
              <w:rPr>
                <w:rFonts w:asciiTheme="majorHAnsi" w:hAnsiTheme="majorHAnsi" w:cstheme="majorHAnsi"/>
                <w:b/>
                <w:i/>
                <w:color w:val="808080"/>
                <w:sz w:val="16"/>
                <w:szCs w:val="16"/>
                <w:lang w:eastAsia="en-US"/>
              </w:rPr>
              <w:t>Rédaction :</w:t>
            </w:r>
            <w:r w:rsidRPr="00762B41">
              <w:rPr>
                <w:rFonts w:asciiTheme="majorHAnsi" w:hAnsiTheme="majorHAnsi" w:cstheme="majorHAnsi"/>
                <w:i/>
                <w:color w:val="808080"/>
                <w:sz w:val="16"/>
                <w:szCs w:val="16"/>
                <w:lang w:eastAsia="en-US"/>
              </w:rPr>
              <w:t xml:space="preserve"> Groupe de travail Normandie</w:t>
            </w:r>
          </w:p>
          <w:p w14:paraId="09DED303" w14:textId="77777777" w:rsidR="00E152B2" w:rsidRPr="00762B41" w:rsidRDefault="00E152B2" w:rsidP="00762B41">
            <w:pPr>
              <w:tabs>
                <w:tab w:val="center" w:pos="4536"/>
                <w:tab w:val="right" w:pos="9072"/>
              </w:tabs>
              <w:jc w:val="both"/>
              <w:rPr>
                <w:rFonts w:asciiTheme="majorHAnsi" w:hAnsiTheme="majorHAnsi" w:cstheme="majorHAnsi"/>
                <w:i/>
                <w:color w:val="808080"/>
                <w:sz w:val="16"/>
                <w:szCs w:val="16"/>
                <w:lang w:eastAsia="en-US"/>
              </w:rPr>
            </w:pPr>
          </w:p>
        </w:tc>
      </w:tr>
      <w:tr w:rsidR="00E152B2" w:rsidRPr="00762B41" w14:paraId="2DFAF2B9" w14:textId="77777777" w:rsidTr="00762B41">
        <w:trPr>
          <w:trHeight w:val="518"/>
        </w:trPr>
        <w:tc>
          <w:tcPr>
            <w:tcW w:w="1838" w:type="dxa"/>
            <w:vMerge/>
            <w:tcBorders>
              <w:top w:val="single" w:sz="4" w:space="0" w:color="2F5496"/>
              <w:left w:val="single" w:sz="4" w:space="0" w:color="2F5496"/>
              <w:bottom w:val="single" w:sz="4" w:space="0" w:color="2F5496"/>
              <w:right w:val="single" w:sz="4" w:space="0" w:color="2F5496"/>
            </w:tcBorders>
            <w:vAlign w:val="center"/>
          </w:tcPr>
          <w:p w14:paraId="108A4DE3" w14:textId="77777777" w:rsidR="00E152B2" w:rsidRPr="00762B41" w:rsidRDefault="00E152B2" w:rsidP="00762B41">
            <w:pPr>
              <w:tabs>
                <w:tab w:val="center" w:pos="4536"/>
                <w:tab w:val="right" w:pos="9072"/>
              </w:tabs>
              <w:jc w:val="center"/>
              <w:rPr>
                <w:rFonts w:asciiTheme="majorHAnsi" w:hAnsiTheme="majorHAnsi" w:cstheme="majorHAnsi"/>
                <w:i/>
                <w:color w:val="808080"/>
                <w:sz w:val="22"/>
                <w:szCs w:val="22"/>
                <w:lang w:eastAsia="en-US"/>
              </w:rPr>
            </w:pPr>
          </w:p>
        </w:tc>
        <w:tc>
          <w:tcPr>
            <w:tcW w:w="5670" w:type="dxa"/>
            <w:vMerge/>
            <w:tcBorders>
              <w:left w:val="single" w:sz="4" w:space="0" w:color="2F5496"/>
              <w:bottom w:val="single" w:sz="4" w:space="0" w:color="2F5496"/>
              <w:right w:val="single" w:sz="4" w:space="0" w:color="2F5496"/>
            </w:tcBorders>
            <w:vAlign w:val="center"/>
          </w:tcPr>
          <w:p w14:paraId="24DAB3F1" w14:textId="77777777" w:rsidR="00E152B2" w:rsidRPr="00762B41" w:rsidRDefault="00E152B2" w:rsidP="00762B41">
            <w:pPr>
              <w:tabs>
                <w:tab w:val="center" w:pos="4536"/>
                <w:tab w:val="right" w:pos="9072"/>
              </w:tabs>
              <w:jc w:val="center"/>
              <w:rPr>
                <w:rFonts w:asciiTheme="majorHAnsi" w:hAnsiTheme="majorHAnsi" w:cstheme="majorHAnsi"/>
                <w:i/>
                <w:color w:val="2E74B5"/>
                <w:sz w:val="24"/>
                <w:szCs w:val="22"/>
                <w:lang w:eastAsia="en-US"/>
              </w:rPr>
            </w:pPr>
          </w:p>
        </w:tc>
        <w:tc>
          <w:tcPr>
            <w:tcW w:w="2126" w:type="dxa"/>
            <w:tcBorders>
              <w:top w:val="single" w:sz="4" w:space="0" w:color="2F5496"/>
              <w:left w:val="single" w:sz="4" w:space="0" w:color="2F5496"/>
              <w:bottom w:val="single" w:sz="4" w:space="0" w:color="2F5496"/>
              <w:right w:val="single" w:sz="4" w:space="0" w:color="2F5496"/>
            </w:tcBorders>
            <w:vAlign w:val="center"/>
          </w:tcPr>
          <w:p w14:paraId="7535DA0C" w14:textId="77777777" w:rsidR="00E152B2" w:rsidRPr="00762B41" w:rsidRDefault="00E152B2" w:rsidP="00762B41">
            <w:pPr>
              <w:tabs>
                <w:tab w:val="center" w:pos="4536"/>
                <w:tab w:val="right" w:pos="9072"/>
              </w:tabs>
              <w:rPr>
                <w:rFonts w:asciiTheme="majorHAnsi" w:hAnsiTheme="majorHAnsi" w:cstheme="majorHAnsi"/>
                <w:i/>
                <w:color w:val="808080"/>
                <w:sz w:val="16"/>
                <w:szCs w:val="16"/>
                <w:lang w:eastAsia="en-US"/>
              </w:rPr>
            </w:pPr>
            <w:r w:rsidRPr="00762B41">
              <w:rPr>
                <w:rFonts w:asciiTheme="majorHAnsi" w:hAnsiTheme="majorHAnsi" w:cstheme="majorHAnsi"/>
                <w:b/>
                <w:i/>
                <w:color w:val="808080"/>
                <w:sz w:val="16"/>
                <w:szCs w:val="16"/>
                <w:lang w:eastAsia="en-US"/>
              </w:rPr>
              <w:t>Mise à jour :</w:t>
            </w:r>
            <w:r w:rsidRPr="00762B41">
              <w:rPr>
                <w:rFonts w:asciiTheme="majorHAnsi" w:hAnsiTheme="majorHAnsi" w:cstheme="majorHAnsi"/>
                <w:i/>
                <w:color w:val="808080"/>
                <w:sz w:val="16"/>
                <w:szCs w:val="16"/>
                <w:lang w:eastAsia="en-US"/>
              </w:rPr>
              <w:t xml:space="preserve"> </w:t>
            </w:r>
            <w:r w:rsidR="00DB1B9D" w:rsidRPr="00762B41">
              <w:rPr>
                <w:rFonts w:asciiTheme="majorHAnsi" w:hAnsiTheme="majorHAnsi" w:cstheme="majorHAnsi"/>
                <w:i/>
                <w:color w:val="808080"/>
                <w:sz w:val="16"/>
                <w:szCs w:val="16"/>
                <w:lang w:eastAsia="en-US"/>
              </w:rPr>
              <w:t>septembre 2023</w:t>
            </w:r>
          </w:p>
        </w:tc>
      </w:tr>
    </w:tbl>
    <w:p w14:paraId="0F3E807F" w14:textId="77777777" w:rsidR="00E152B2" w:rsidRPr="00762B41" w:rsidRDefault="00E152B2" w:rsidP="00762B41">
      <w:pPr>
        <w:suppressAutoHyphens/>
        <w:spacing w:after="120"/>
        <w:jc w:val="both"/>
        <w:rPr>
          <w:rFonts w:asciiTheme="majorHAnsi" w:eastAsia="Calibri" w:hAnsiTheme="majorHAnsi" w:cstheme="majorHAnsi"/>
          <w:sz w:val="6"/>
          <w:szCs w:val="6"/>
          <w:lang w:eastAsia="en-US"/>
        </w:rPr>
      </w:pPr>
    </w:p>
    <w:p w14:paraId="6BD44114" w14:textId="5BE2943E" w:rsidR="00E152B2"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b/>
          <w:lang w:eastAsia="en-US"/>
        </w:rPr>
      </w:pPr>
      <w:r w:rsidRPr="00762B41">
        <w:rPr>
          <w:rFonts w:asciiTheme="majorHAnsi" w:eastAsia="Calibri" w:hAnsiTheme="majorHAnsi" w:cstheme="majorHAnsi"/>
          <w:b/>
          <w:lang w:eastAsia="en-US"/>
        </w:rPr>
        <w:t xml:space="preserve">Dans le cas d’un partenariat avec une pharmacie d’officine, une convention relative aux prestations pharmaceutiques est établie avec </w:t>
      </w:r>
      <w:r w:rsidR="005F501E">
        <w:rPr>
          <w:rFonts w:asciiTheme="majorHAnsi" w:eastAsia="Calibri" w:hAnsiTheme="majorHAnsi" w:cstheme="majorHAnsi"/>
          <w:b/>
          <w:lang w:eastAsia="en-US"/>
        </w:rPr>
        <w:t>l’</w:t>
      </w:r>
      <w:r w:rsidR="00887929">
        <w:rPr>
          <w:rFonts w:asciiTheme="majorHAnsi" w:eastAsia="Calibri" w:hAnsiTheme="majorHAnsi" w:cstheme="majorHAnsi"/>
          <w:b/>
          <w:lang w:eastAsia="en-US"/>
        </w:rPr>
        <w:t>ESSMS PH</w:t>
      </w:r>
      <w:r w:rsidRPr="00762B41">
        <w:rPr>
          <w:rFonts w:asciiTheme="majorHAnsi" w:eastAsia="Calibri" w:hAnsiTheme="majorHAnsi" w:cstheme="majorHAnsi"/>
          <w:b/>
          <w:lang w:eastAsia="en-US"/>
        </w:rPr>
        <w:t xml:space="preserve">. </w:t>
      </w:r>
    </w:p>
    <w:p w14:paraId="48D19E44"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b/>
          <w:lang w:eastAsia="en-US"/>
        </w:rPr>
      </w:pPr>
    </w:p>
    <w:p w14:paraId="2CB1763D" w14:textId="08C6803F" w:rsidR="00E152B2"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r w:rsidRPr="00762B41">
        <w:rPr>
          <w:rFonts w:asciiTheme="majorHAnsi" w:eastAsia="Calibri" w:hAnsiTheme="majorHAnsi" w:cstheme="majorHAnsi"/>
          <w:lang w:eastAsia="en-US"/>
        </w:rPr>
        <w:t xml:space="preserve">Elaboré dans le but de </w:t>
      </w:r>
      <w:r w:rsidRPr="00762B41">
        <w:rPr>
          <w:rFonts w:asciiTheme="majorHAnsi" w:eastAsia="Calibri" w:hAnsiTheme="majorHAnsi" w:cstheme="majorHAnsi"/>
          <w:b/>
          <w:lang w:eastAsia="en-US"/>
        </w:rPr>
        <w:t xml:space="preserve">garantir la qualité et la sécurité de la prise en charge médicamenteuse (PECM) des personnes hébergées au sein d’un </w:t>
      </w:r>
      <w:r w:rsidR="00792176">
        <w:rPr>
          <w:rFonts w:asciiTheme="majorHAnsi" w:eastAsia="Calibri" w:hAnsiTheme="majorHAnsi" w:cstheme="majorHAnsi"/>
          <w:b/>
          <w:lang w:eastAsia="en-US"/>
        </w:rPr>
        <w:t>ESSMS PH</w:t>
      </w:r>
      <w:r w:rsidRPr="00762B41">
        <w:rPr>
          <w:rFonts w:asciiTheme="majorHAnsi" w:eastAsia="Calibri" w:hAnsiTheme="majorHAnsi" w:cstheme="majorHAnsi"/>
          <w:lang w:eastAsia="en-US"/>
        </w:rPr>
        <w:t xml:space="preserve"> ce modèle de convention précise les modalités de collaboration entre l’</w:t>
      </w:r>
      <w:r w:rsidR="00887929">
        <w:rPr>
          <w:rFonts w:asciiTheme="majorHAnsi" w:eastAsia="Calibri" w:hAnsiTheme="majorHAnsi" w:cstheme="majorHAnsi"/>
          <w:lang w:eastAsia="en-US"/>
        </w:rPr>
        <w:t>ESSMS PH</w:t>
      </w:r>
      <w:r w:rsidRPr="00762B41">
        <w:rPr>
          <w:rFonts w:asciiTheme="majorHAnsi" w:eastAsia="Calibri" w:hAnsiTheme="majorHAnsi" w:cstheme="majorHAnsi"/>
          <w:lang w:eastAsia="en-US"/>
        </w:rPr>
        <w:t xml:space="preserve"> et le pharmacien référent dans le contexte réglementaire en vigueur et des modèles existants </w:t>
      </w:r>
      <w:r w:rsidRPr="00762B41">
        <w:rPr>
          <w:rFonts w:asciiTheme="majorHAnsi" w:eastAsia="Calibri" w:hAnsiTheme="majorHAnsi" w:cstheme="majorHAnsi"/>
          <w:vertAlign w:val="superscript"/>
          <w:lang w:eastAsia="en-US"/>
        </w:rPr>
        <w:footnoteReference w:id="1"/>
      </w:r>
      <w:r w:rsidRPr="00762B41">
        <w:rPr>
          <w:rFonts w:asciiTheme="majorHAnsi" w:eastAsia="Calibri" w:hAnsiTheme="majorHAnsi" w:cstheme="majorHAnsi"/>
          <w:lang w:eastAsia="en-US"/>
        </w:rPr>
        <w:t>.</w:t>
      </w:r>
    </w:p>
    <w:p w14:paraId="2F11CC57"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p>
    <w:p w14:paraId="58D8F8B3" w14:textId="77777777" w:rsidR="00E152B2"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r w:rsidRPr="00762B41">
        <w:rPr>
          <w:rFonts w:asciiTheme="majorHAnsi" w:eastAsia="Calibri" w:hAnsiTheme="majorHAnsi" w:cstheme="majorHAnsi"/>
          <w:lang w:eastAsia="en-US"/>
        </w:rPr>
        <w:t xml:space="preserve">Cette convention mentionne notamment les modalités de dispensation (analyse de l'ordonnance, délivrance des médicaments, mise à disposition des informations et conseils nécessaires au bon usage des médicaments, la préparation éventuelle des doses à administrer (PDA), de livraison, de détention/stockage, de gestion des médicaments périmés, la gestion des alertes sanitaires la dispensation pharmaceutique ainsi que le bon usage des médicaments en lien avec le médecin coordonnateur. </w:t>
      </w:r>
    </w:p>
    <w:p w14:paraId="16C9D5BA"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p>
    <w:p w14:paraId="58190D39" w14:textId="46247BE7" w:rsidR="00E152B2" w:rsidRPr="0009217A"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r w:rsidRPr="00762B41">
        <w:rPr>
          <w:rFonts w:asciiTheme="majorHAnsi" w:eastAsia="Calibri" w:hAnsiTheme="majorHAnsi" w:cstheme="majorHAnsi"/>
          <w:lang w:eastAsia="en-US"/>
        </w:rPr>
        <w:t>Ell</w:t>
      </w:r>
      <w:r w:rsidRPr="00762B41">
        <w:rPr>
          <w:rFonts w:asciiTheme="majorHAnsi" w:eastAsia="Calibri" w:hAnsiTheme="majorHAnsi" w:cstheme="majorHAnsi"/>
          <w:sz w:val="22"/>
          <w:szCs w:val="22"/>
          <w:lang w:eastAsia="en-US"/>
        </w:rPr>
        <w:t xml:space="preserve">e </w:t>
      </w:r>
      <w:r w:rsidRPr="00762B41">
        <w:rPr>
          <w:rFonts w:asciiTheme="majorHAnsi" w:eastAsia="Calibri" w:hAnsiTheme="majorHAnsi" w:cstheme="majorHAnsi"/>
          <w:lang w:eastAsia="en-US"/>
        </w:rPr>
        <w:t>est à transmettre à l’ARS par l’</w:t>
      </w:r>
      <w:r w:rsidR="00887929">
        <w:rPr>
          <w:rFonts w:asciiTheme="majorHAnsi" w:eastAsia="Calibri" w:hAnsiTheme="majorHAnsi" w:cstheme="majorHAnsi"/>
          <w:lang w:eastAsia="en-US"/>
        </w:rPr>
        <w:t>ESSMS PH</w:t>
      </w:r>
      <w:r w:rsidRPr="00762B41">
        <w:rPr>
          <w:rFonts w:asciiTheme="majorHAnsi" w:eastAsia="Calibri" w:hAnsiTheme="majorHAnsi" w:cstheme="majorHAnsi"/>
          <w:lang w:eastAsia="en-US"/>
        </w:rPr>
        <w:t xml:space="preserve"> et au CROP par le </w:t>
      </w:r>
      <w:r w:rsidRPr="0009217A">
        <w:rPr>
          <w:rFonts w:asciiTheme="majorHAnsi" w:eastAsia="Calibri" w:hAnsiTheme="majorHAnsi" w:cstheme="majorHAnsi"/>
          <w:lang w:eastAsia="en-US"/>
        </w:rPr>
        <w:t>pharmaci</w:t>
      </w:r>
      <w:r w:rsidR="0074143F" w:rsidRPr="0009217A">
        <w:rPr>
          <w:rFonts w:asciiTheme="majorHAnsi" w:eastAsia="Calibri" w:hAnsiTheme="majorHAnsi" w:cstheme="majorHAnsi"/>
          <w:lang w:eastAsia="en-US"/>
        </w:rPr>
        <w:t>en.</w:t>
      </w:r>
    </w:p>
    <w:p w14:paraId="541D1694"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p>
    <w:p w14:paraId="7AF8018E" w14:textId="1A0D39ED" w:rsidR="00E152B2" w:rsidRPr="00762B41"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i/>
          <w:lang w:eastAsia="en-US"/>
        </w:rPr>
      </w:pPr>
      <w:r w:rsidRPr="00762B41">
        <w:rPr>
          <w:rFonts w:asciiTheme="majorHAnsi" w:eastAsia="Calibri" w:hAnsiTheme="majorHAnsi" w:cstheme="majorHAnsi"/>
          <w:i/>
          <w:lang w:eastAsia="en-US"/>
        </w:rPr>
        <w:t>Ce modèle type de convention est à adapter à l’organisation retenue entre l’</w:t>
      </w:r>
      <w:r w:rsidR="00887929">
        <w:rPr>
          <w:rFonts w:asciiTheme="majorHAnsi" w:eastAsia="Calibri" w:hAnsiTheme="majorHAnsi" w:cstheme="majorHAnsi"/>
          <w:i/>
          <w:lang w:eastAsia="en-US"/>
        </w:rPr>
        <w:t>ESSMS PH</w:t>
      </w:r>
      <w:r w:rsidRPr="00762B41">
        <w:rPr>
          <w:rFonts w:asciiTheme="majorHAnsi" w:eastAsia="Calibri" w:hAnsiTheme="majorHAnsi" w:cstheme="majorHAnsi"/>
          <w:i/>
          <w:lang w:eastAsia="en-US"/>
        </w:rPr>
        <w:t xml:space="preserve"> et l’officine (des mentions peuvent être complétées, déplacées, supprimées, ajoutées. </w:t>
      </w:r>
      <w:r w:rsidR="00A00494" w:rsidRPr="00762B41">
        <w:rPr>
          <w:rFonts w:asciiTheme="majorHAnsi" w:eastAsia="Calibri" w:hAnsiTheme="majorHAnsi" w:cstheme="majorHAnsi"/>
          <w:i/>
          <w:lang w:eastAsia="en-US"/>
        </w:rPr>
        <w:t>Cf.</w:t>
      </w:r>
      <w:r w:rsidRPr="00762B41">
        <w:rPr>
          <w:rFonts w:asciiTheme="majorHAnsi" w:eastAsia="Calibri" w:hAnsiTheme="majorHAnsi" w:cstheme="majorHAnsi"/>
          <w:i/>
          <w:lang w:eastAsia="en-US"/>
        </w:rPr>
        <w:t xml:space="preserve"> encadrés et / ou textes en italique). </w:t>
      </w:r>
    </w:p>
    <w:p w14:paraId="1760A3F8" w14:textId="2508E3DA" w:rsidR="00E152B2" w:rsidRPr="00762B41"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i/>
          <w:lang w:eastAsia="en-US"/>
        </w:rPr>
      </w:pPr>
      <w:r w:rsidRPr="00762B41">
        <w:rPr>
          <w:rFonts w:asciiTheme="majorHAnsi" w:eastAsia="Calibri" w:hAnsiTheme="majorHAnsi" w:cstheme="majorHAnsi"/>
          <w:i/>
          <w:lang w:eastAsia="en-US"/>
        </w:rPr>
        <w:t>Ce modèle est issu du modèle de la région</w:t>
      </w:r>
      <w:r w:rsidR="005F501E">
        <w:rPr>
          <w:rFonts w:asciiTheme="majorHAnsi" w:eastAsia="Calibri" w:hAnsiTheme="majorHAnsi" w:cstheme="majorHAnsi"/>
          <w:i/>
          <w:lang w:eastAsia="en-US"/>
        </w:rPr>
        <w:t xml:space="preserve"> Ile-</w:t>
      </w:r>
      <w:r w:rsidRPr="00762B41">
        <w:rPr>
          <w:rFonts w:asciiTheme="majorHAnsi" w:eastAsia="Calibri" w:hAnsiTheme="majorHAnsi" w:cstheme="majorHAnsi"/>
          <w:i/>
          <w:lang w:eastAsia="en-US"/>
        </w:rPr>
        <w:t>de</w:t>
      </w:r>
      <w:r w:rsidR="005F501E">
        <w:rPr>
          <w:rFonts w:asciiTheme="majorHAnsi" w:eastAsia="Calibri" w:hAnsiTheme="majorHAnsi" w:cstheme="majorHAnsi"/>
          <w:i/>
          <w:lang w:eastAsia="en-US"/>
        </w:rPr>
        <w:t>-</w:t>
      </w:r>
      <w:r w:rsidRPr="00762B41">
        <w:rPr>
          <w:rFonts w:asciiTheme="majorHAnsi" w:eastAsia="Calibri" w:hAnsiTheme="majorHAnsi" w:cstheme="majorHAnsi"/>
          <w:i/>
          <w:lang w:eastAsia="en-US"/>
        </w:rPr>
        <w:t>France pour le secteur ESMS PH, en l’attente du modèle défini par arrêté</w:t>
      </w:r>
      <w:r w:rsidRPr="00762B41">
        <w:rPr>
          <w:rFonts w:asciiTheme="majorHAnsi" w:eastAsia="Calibri" w:hAnsiTheme="majorHAnsi" w:cstheme="majorHAnsi"/>
          <w:i/>
          <w:vertAlign w:val="superscript"/>
          <w:lang w:eastAsia="en-US"/>
        </w:rPr>
        <w:t>1</w:t>
      </w:r>
      <w:r w:rsidRPr="00762B41">
        <w:rPr>
          <w:rFonts w:asciiTheme="majorHAnsi" w:eastAsia="Calibri" w:hAnsiTheme="majorHAnsi" w:cstheme="majorHAnsi"/>
          <w:i/>
          <w:lang w:eastAsia="en-US"/>
        </w:rPr>
        <w:t>.</w:t>
      </w:r>
    </w:p>
    <w:sdt>
      <w:sdtPr>
        <w:rPr>
          <w:rFonts w:ascii="Marianne" w:eastAsia="Times New Roman" w:hAnsi="Marianne" w:cstheme="majorHAnsi"/>
          <w:color w:val="auto"/>
          <w:sz w:val="20"/>
          <w:szCs w:val="20"/>
        </w:rPr>
        <w:id w:val="-2090690023"/>
        <w:docPartObj>
          <w:docPartGallery w:val="Table of Contents"/>
          <w:docPartUnique/>
        </w:docPartObj>
      </w:sdtPr>
      <w:sdtEndPr>
        <w:rPr>
          <w:rFonts w:cs="Arial"/>
        </w:rPr>
      </w:sdtEndPr>
      <w:sdtContent>
        <w:p w14:paraId="717F0C79" w14:textId="77777777" w:rsidR="00E152B2" w:rsidRPr="00762B41" w:rsidRDefault="00E152B2" w:rsidP="00762B41">
          <w:pPr>
            <w:pStyle w:val="En-ttedetabledesmatires"/>
            <w:rPr>
              <w:rFonts w:cstheme="majorHAnsi"/>
              <w:color w:val="0070C0"/>
            </w:rPr>
          </w:pPr>
          <w:r w:rsidRPr="00762B41">
            <w:rPr>
              <w:rFonts w:cstheme="majorHAnsi"/>
              <w:color w:val="0070C0"/>
            </w:rPr>
            <w:t>Table des matières</w:t>
          </w:r>
        </w:p>
        <w:p w14:paraId="7D977E27" w14:textId="28ABB895" w:rsidR="00E06390" w:rsidRPr="00E06390" w:rsidRDefault="00E152B2">
          <w:pPr>
            <w:pStyle w:val="TM1"/>
            <w:rPr>
              <w:rFonts w:asciiTheme="minorHAnsi" w:eastAsiaTheme="minorEastAsia" w:hAnsiTheme="minorHAnsi" w:cstheme="minorHAnsi"/>
              <w:noProof/>
              <w:sz w:val="22"/>
              <w:szCs w:val="22"/>
            </w:rPr>
          </w:pPr>
          <w:r w:rsidRPr="00762B41">
            <w:rPr>
              <w:rFonts w:asciiTheme="majorHAnsi" w:hAnsiTheme="majorHAnsi" w:cstheme="majorHAnsi"/>
              <w:color w:val="0070C0"/>
            </w:rPr>
            <w:fldChar w:fldCharType="begin"/>
          </w:r>
          <w:r w:rsidRPr="00762B41">
            <w:rPr>
              <w:rFonts w:asciiTheme="majorHAnsi" w:hAnsiTheme="majorHAnsi" w:cstheme="majorHAnsi"/>
              <w:color w:val="0070C0"/>
            </w:rPr>
            <w:instrText xml:space="preserve"> TOC \o "1-3" \h \z \u </w:instrText>
          </w:r>
          <w:r w:rsidRPr="00762B41">
            <w:rPr>
              <w:rFonts w:asciiTheme="majorHAnsi" w:hAnsiTheme="majorHAnsi" w:cstheme="majorHAnsi"/>
              <w:color w:val="0070C0"/>
            </w:rPr>
            <w:fldChar w:fldCharType="separate"/>
          </w:r>
          <w:hyperlink w:anchor="_Toc160615773" w:history="1">
            <w:r w:rsidR="00E06390" w:rsidRPr="00E06390">
              <w:rPr>
                <w:rStyle w:val="Lienhypertexte"/>
                <w:rFonts w:asciiTheme="minorHAnsi" w:hAnsiTheme="minorHAnsi" w:cstheme="minorHAnsi"/>
                <w:noProof/>
              </w:rPr>
              <w:t>Article 1. Objet de la convention</w:t>
            </w:r>
            <w:r w:rsidR="00E06390" w:rsidRPr="00E06390">
              <w:rPr>
                <w:rFonts w:asciiTheme="minorHAnsi" w:hAnsiTheme="minorHAnsi" w:cstheme="minorHAnsi"/>
                <w:noProof/>
                <w:webHidden/>
              </w:rPr>
              <w:tab/>
            </w:r>
            <w:r w:rsidR="00E06390" w:rsidRPr="00E06390">
              <w:rPr>
                <w:rFonts w:asciiTheme="minorHAnsi" w:hAnsiTheme="minorHAnsi" w:cstheme="minorHAnsi"/>
                <w:noProof/>
                <w:webHidden/>
              </w:rPr>
              <w:fldChar w:fldCharType="begin"/>
            </w:r>
            <w:r w:rsidR="00E06390" w:rsidRPr="00E06390">
              <w:rPr>
                <w:rFonts w:asciiTheme="minorHAnsi" w:hAnsiTheme="minorHAnsi" w:cstheme="minorHAnsi"/>
                <w:noProof/>
                <w:webHidden/>
              </w:rPr>
              <w:instrText xml:space="preserve"> PAGEREF _Toc160615773 \h </w:instrText>
            </w:r>
            <w:r w:rsidR="00E06390" w:rsidRPr="00E06390">
              <w:rPr>
                <w:rFonts w:asciiTheme="minorHAnsi" w:hAnsiTheme="minorHAnsi" w:cstheme="minorHAnsi"/>
                <w:noProof/>
                <w:webHidden/>
              </w:rPr>
            </w:r>
            <w:r w:rsidR="00E06390" w:rsidRPr="00E06390">
              <w:rPr>
                <w:rFonts w:asciiTheme="minorHAnsi" w:hAnsiTheme="minorHAnsi" w:cstheme="minorHAnsi"/>
                <w:noProof/>
                <w:webHidden/>
              </w:rPr>
              <w:fldChar w:fldCharType="separate"/>
            </w:r>
            <w:r w:rsidR="00E06390" w:rsidRPr="00E06390">
              <w:rPr>
                <w:rFonts w:asciiTheme="minorHAnsi" w:hAnsiTheme="minorHAnsi" w:cstheme="minorHAnsi"/>
                <w:noProof/>
                <w:webHidden/>
              </w:rPr>
              <w:t>3</w:t>
            </w:r>
            <w:r w:rsidR="00E06390" w:rsidRPr="00E06390">
              <w:rPr>
                <w:rFonts w:asciiTheme="minorHAnsi" w:hAnsiTheme="minorHAnsi" w:cstheme="minorHAnsi"/>
                <w:noProof/>
                <w:webHidden/>
              </w:rPr>
              <w:fldChar w:fldCharType="end"/>
            </w:r>
          </w:hyperlink>
        </w:p>
        <w:p w14:paraId="37CF99CD" w14:textId="7C489B71" w:rsidR="00E06390" w:rsidRPr="00E06390" w:rsidRDefault="00E06390">
          <w:pPr>
            <w:pStyle w:val="TM1"/>
            <w:rPr>
              <w:rFonts w:asciiTheme="minorHAnsi" w:eastAsiaTheme="minorEastAsia" w:hAnsiTheme="minorHAnsi" w:cstheme="minorHAnsi"/>
              <w:noProof/>
              <w:sz w:val="22"/>
              <w:szCs w:val="22"/>
            </w:rPr>
          </w:pPr>
          <w:hyperlink w:anchor="_Toc160615774" w:history="1">
            <w:r w:rsidRPr="00E06390">
              <w:rPr>
                <w:rStyle w:val="Lienhypertexte"/>
                <w:rFonts w:asciiTheme="minorHAnsi" w:hAnsiTheme="minorHAnsi" w:cstheme="minorHAnsi"/>
                <w:noProof/>
              </w:rPr>
              <w:t>Article 2. Déontologie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_Toc160615774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3</w:t>
            </w:r>
            <w:r w:rsidRPr="00E06390">
              <w:rPr>
                <w:rFonts w:asciiTheme="minorHAnsi" w:hAnsiTheme="minorHAnsi" w:cstheme="minorHAnsi"/>
                <w:noProof/>
                <w:webHidden/>
              </w:rPr>
              <w:fldChar w:fldCharType="end"/>
            </w:r>
          </w:hyperlink>
        </w:p>
        <w:p w14:paraId="324C1C39" w14:textId="13218629" w:rsidR="00E06390" w:rsidRPr="00E06390" w:rsidRDefault="00E06390">
          <w:pPr>
            <w:pStyle w:val="TM1"/>
            <w:rPr>
              <w:rFonts w:asciiTheme="minorHAnsi" w:eastAsiaTheme="minorEastAsia" w:hAnsiTheme="minorHAnsi" w:cstheme="minorHAnsi"/>
              <w:noProof/>
              <w:sz w:val="22"/>
              <w:szCs w:val="22"/>
            </w:rPr>
          </w:pPr>
          <w:hyperlink w:anchor="_Toc160615775" w:history="1">
            <w:r w:rsidRPr="00E06390">
              <w:rPr>
                <w:rStyle w:val="Lienhypertexte"/>
                <w:rFonts w:asciiTheme="minorHAnsi" w:hAnsiTheme="minorHAnsi" w:cstheme="minorHAnsi"/>
                <w:noProof/>
              </w:rPr>
              <w:t>Article 3. Transmission des informations concernant les résidents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_Toc160615775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3</w:t>
            </w:r>
            <w:r w:rsidRPr="00E06390">
              <w:rPr>
                <w:rFonts w:asciiTheme="minorHAnsi" w:hAnsiTheme="minorHAnsi" w:cstheme="minorHAnsi"/>
                <w:noProof/>
                <w:webHidden/>
              </w:rPr>
              <w:fldChar w:fldCharType="end"/>
            </w:r>
          </w:hyperlink>
        </w:p>
        <w:p w14:paraId="2CE38CE0" w14:textId="1F839D5A" w:rsidR="00E06390" w:rsidRPr="00E06390" w:rsidRDefault="00E06390">
          <w:pPr>
            <w:pStyle w:val="TM2"/>
            <w:rPr>
              <w:rFonts w:asciiTheme="minorHAnsi" w:eastAsiaTheme="minorEastAsia" w:hAnsiTheme="minorHAnsi" w:cstheme="minorHAnsi"/>
              <w:noProof/>
              <w:sz w:val="22"/>
              <w:szCs w:val="22"/>
            </w:rPr>
          </w:pPr>
          <w:hyperlink w:anchor="_Toc160615776" w:history="1">
            <w:r w:rsidRPr="00E06390">
              <w:rPr>
                <w:rStyle w:val="Lienhypertexte"/>
                <w:rFonts w:asciiTheme="minorHAnsi" w:hAnsiTheme="minorHAnsi" w:cstheme="minorHAnsi"/>
                <w:b/>
                <w:noProof/>
              </w:rPr>
              <w:t>Nature des informations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_Toc160615776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3</w:t>
            </w:r>
            <w:r w:rsidRPr="00E06390">
              <w:rPr>
                <w:rFonts w:asciiTheme="minorHAnsi" w:hAnsiTheme="minorHAnsi" w:cstheme="minorHAnsi"/>
                <w:noProof/>
                <w:webHidden/>
              </w:rPr>
              <w:fldChar w:fldCharType="end"/>
            </w:r>
          </w:hyperlink>
        </w:p>
        <w:p w14:paraId="30A042DF" w14:textId="681A986C" w:rsidR="00E06390" w:rsidRPr="00E06390" w:rsidRDefault="00E06390">
          <w:pPr>
            <w:pStyle w:val="TM2"/>
            <w:rPr>
              <w:rFonts w:asciiTheme="minorHAnsi" w:eastAsiaTheme="minorEastAsia" w:hAnsiTheme="minorHAnsi" w:cstheme="minorHAnsi"/>
              <w:noProof/>
              <w:sz w:val="22"/>
              <w:szCs w:val="22"/>
            </w:rPr>
          </w:pPr>
          <w:hyperlink w:anchor="_Toc160615777" w:history="1">
            <w:r w:rsidRPr="00E06390">
              <w:rPr>
                <w:rStyle w:val="Lienhypertexte"/>
                <w:rFonts w:asciiTheme="minorHAnsi" w:hAnsiTheme="minorHAnsi" w:cstheme="minorHAnsi"/>
                <w:b/>
                <w:noProof/>
              </w:rPr>
              <w:t>Modalités d’échanges d’information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_Toc160615777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4</w:t>
            </w:r>
            <w:r w:rsidRPr="00E06390">
              <w:rPr>
                <w:rFonts w:asciiTheme="minorHAnsi" w:hAnsiTheme="minorHAnsi" w:cstheme="minorHAnsi"/>
                <w:noProof/>
                <w:webHidden/>
              </w:rPr>
              <w:fldChar w:fldCharType="end"/>
            </w:r>
          </w:hyperlink>
        </w:p>
        <w:p w14:paraId="0F322228" w14:textId="798F6335" w:rsidR="00E06390" w:rsidRPr="00E06390" w:rsidRDefault="00E06390">
          <w:pPr>
            <w:pStyle w:val="TM1"/>
            <w:rPr>
              <w:rFonts w:asciiTheme="minorHAnsi" w:eastAsiaTheme="minorEastAsia" w:hAnsiTheme="minorHAnsi" w:cstheme="minorHAnsi"/>
              <w:noProof/>
              <w:sz w:val="22"/>
              <w:szCs w:val="22"/>
            </w:rPr>
          </w:pPr>
          <w:hyperlink w:anchor="_Toc160615778" w:history="1">
            <w:r w:rsidRPr="00E06390">
              <w:rPr>
                <w:rStyle w:val="Lienhypertexte"/>
                <w:rFonts w:asciiTheme="minorHAnsi" w:hAnsiTheme="minorHAnsi" w:cstheme="minorHAnsi"/>
                <w:noProof/>
              </w:rPr>
              <w:t>Article 4. Continuité de la prestation pharmaceutique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_Toc160615778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4</w:t>
            </w:r>
            <w:r w:rsidRPr="00E06390">
              <w:rPr>
                <w:rFonts w:asciiTheme="minorHAnsi" w:hAnsiTheme="minorHAnsi" w:cstheme="minorHAnsi"/>
                <w:noProof/>
                <w:webHidden/>
              </w:rPr>
              <w:fldChar w:fldCharType="end"/>
            </w:r>
          </w:hyperlink>
        </w:p>
        <w:p w14:paraId="11551467" w14:textId="65FCB324" w:rsidR="00E06390" w:rsidRPr="00E06390" w:rsidRDefault="00E06390">
          <w:pPr>
            <w:pStyle w:val="TM2"/>
            <w:rPr>
              <w:rFonts w:asciiTheme="minorHAnsi" w:eastAsiaTheme="minorEastAsia" w:hAnsiTheme="minorHAnsi" w:cstheme="minorHAnsi"/>
              <w:noProof/>
              <w:sz w:val="22"/>
              <w:szCs w:val="22"/>
            </w:rPr>
          </w:pPr>
          <w:hyperlink w:anchor="_Toc160615779" w:history="1">
            <w:r w:rsidRPr="00E06390">
              <w:rPr>
                <w:rStyle w:val="Lienhypertexte"/>
                <w:rFonts w:asciiTheme="minorHAnsi" w:eastAsia="Calibri" w:hAnsiTheme="minorHAnsi" w:cstheme="minorHAnsi"/>
                <w:b/>
                <w:noProof/>
                <w:lang w:eastAsia="en-US"/>
              </w:rPr>
              <w:t>Dotation pour les urgences vitales et dotation pour soins prescrits en urgence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_Toc160615779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4</w:t>
            </w:r>
            <w:r w:rsidRPr="00E06390">
              <w:rPr>
                <w:rFonts w:asciiTheme="minorHAnsi" w:hAnsiTheme="minorHAnsi" w:cstheme="minorHAnsi"/>
                <w:noProof/>
                <w:webHidden/>
              </w:rPr>
              <w:fldChar w:fldCharType="end"/>
            </w:r>
          </w:hyperlink>
        </w:p>
        <w:p w14:paraId="07FC6BEB" w14:textId="47EA9C89" w:rsidR="00E06390" w:rsidRPr="00E06390" w:rsidRDefault="00E06390">
          <w:pPr>
            <w:pStyle w:val="TM2"/>
            <w:rPr>
              <w:rFonts w:asciiTheme="minorHAnsi" w:eastAsiaTheme="minorEastAsia" w:hAnsiTheme="minorHAnsi" w:cstheme="minorHAnsi"/>
              <w:noProof/>
              <w:sz w:val="22"/>
              <w:szCs w:val="22"/>
            </w:rPr>
          </w:pPr>
          <w:hyperlink w:anchor="_Toc160615780" w:history="1">
            <w:r w:rsidRPr="00E06390">
              <w:rPr>
                <w:rStyle w:val="Lienhypertexte"/>
                <w:rFonts w:asciiTheme="minorHAnsi" w:eastAsia="Calibri" w:hAnsiTheme="minorHAnsi" w:cstheme="minorHAnsi"/>
                <w:b/>
                <w:noProof/>
                <w:lang w:eastAsia="en-US"/>
              </w:rPr>
              <w:t>Continuité de la dispensation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_Toc160615780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5</w:t>
            </w:r>
            <w:r w:rsidRPr="00E06390">
              <w:rPr>
                <w:rFonts w:asciiTheme="minorHAnsi" w:hAnsiTheme="minorHAnsi" w:cstheme="minorHAnsi"/>
                <w:noProof/>
                <w:webHidden/>
              </w:rPr>
              <w:fldChar w:fldCharType="end"/>
            </w:r>
          </w:hyperlink>
        </w:p>
        <w:p w14:paraId="79C4C832" w14:textId="7DC66028" w:rsidR="00E06390" w:rsidRPr="00E06390" w:rsidRDefault="00E06390">
          <w:pPr>
            <w:pStyle w:val="TM3"/>
            <w:tabs>
              <w:tab w:val="right" w:leader="dot" w:pos="9488"/>
            </w:tabs>
            <w:rPr>
              <w:rFonts w:asciiTheme="minorHAnsi" w:eastAsiaTheme="minorEastAsia" w:hAnsiTheme="minorHAnsi" w:cstheme="minorHAnsi"/>
              <w:noProof/>
              <w:sz w:val="22"/>
              <w:szCs w:val="22"/>
            </w:rPr>
          </w:pPr>
          <w:hyperlink w:anchor="_Toc160615781" w:history="1">
            <w:r w:rsidRPr="00E06390">
              <w:rPr>
                <w:rStyle w:val="Lienhypertexte"/>
                <w:rFonts w:asciiTheme="minorHAnsi" w:hAnsiTheme="minorHAnsi" w:cstheme="minorHAnsi"/>
                <w:b/>
                <w:noProof/>
                <w:lang w:eastAsia="en-US"/>
              </w:rPr>
              <w:t>Renouvellement de traitement (sans urgence)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_Toc160615781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5</w:t>
            </w:r>
            <w:r w:rsidRPr="00E06390">
              <w:rPr>
                <w:rFonts w:asciiTheme="minorHAnsi" w:hAnsiTheme="minorHAnsi" w:cstheme="minorHAnsi"/>
                <w:noProof/>
                <w:webHidden/>
              </w:rPr>
              <w:fldChar w:fldCharType="end"/>
            </w:r>
          </w:hyperlink>
        </w:p>
        <w:p w14:paraId="0D411E5A" w14:textId="73A21639" w:rsidR="00E06390" w:rsidRPr="00E06390" w:rsidRDefault="00E06390">
          <w:pPr>
            <w:pStyle w:val="TM3"/>
            <w:tabs>
              <w:tab w:val="right" w:leader="dot" w:pos="9488"/>
            </w:tabs>
            <w:rPr>
              <w:rFonts w:asciiTheme="minorHAnsi" w:eastAsiaTheme="minorEastAsia" w:hAnsiTheme="minorHAnsi" w:cstheme="minorHAnsi"/>
              <w:noProof/>
              <w:sz w:val="22"/>
              <w:szCs w:val="22"/>
            </w:rPr>
          </w:pPr>
          <w:hyperlink w:anchor="_Toc160615782" w:history="1">
            <w:r w:rsidRPr="00E06390">
              <w:rPr>
                <w:rStyle w:val="Lienhypertexte"/>
                <w:rFonts w:asciiTheme="minorHAnsi" w:hAnsiTheme="minorHAnsi" w:cstheme="minorHAnsi"/>
                <w:b/>
                <w:noProof/>
                <w:lang w:eastAsia="en-US"/>
              </w:rPr>
              <w:t>Traitement destiné à un « nouveau » résident, traitement intercurrent, modification de traitement</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_Toc160615782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5</w:t>
            </w:r>
            <w:r w:rsidRPr="00E06390">
              <w:rPr>
                <w:rFonts w:asciiTheme="minorHAnsi" w:hAnsiTheme="minorHAnsi" w:cstheme="minorHAnsi"/>
                <w:noProof/>
                <w:webHidden/>
              </w:rPr>
              <w:fldChar w:fldCharType="end"/>
            </w:r>
          </w:hyperlink>
        </w:p>
        <w:p w14:paraId="163623A9" w14:textId="23377A01" w:rsidR="00E06390" w:rsidRPr="00E06390" w:rsidRDefault="00E06390">
          <w:pPr>
            <w:pStyle w:val="TM3"/>
            <w:tabs>
              <w:tab w:val="right" w:leader="dot" w:pos="9488"/>
            </w:tabs>
            <w:rPr>
              <w:rFonts w:asciiTheme="minorHAnsi" w:eastAsiaTheme="minorEastAsia" w:hAnsiTheme="minorHAnsi" w:cstheme="minorHAnsi"/>
              <w:noProof/>
              <w:sz w:val="22"/>
              <w:szCs w:val="22"/>
            </w:rPr>
          </w:pPr>
          <w:hyperlink w:anchor="_Toc160615783" w:history="1">
            <w:r w:rsidRPr="00E06390">
              <w:rPr>
                <w:rStyle w:val="Lienhypertexte"/>
                <w:rFonts w:asciiTheme="minorHAnsi" w:hAnsiTheme="minorHAnsi" w:cstheme="minorHAnsi"/>
                <w:b/>
                <w:noProof/>
                <w:lang w:eastAsia="en-US"/>
              </w:rPr>
              <w:t>Traitement aigu, en urgence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_Toc160615783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5</w:t>
            </w:r>
            <w:r w:rsidRPr="00E06390">
              <w:rPr>
                <w:rFonts w:asciiTheme="minorHAnsi" w:hAnsiTheme="minorHAnsi" w:cstheme="minorHAnsi"/>
                <w:noProof/>
                <w:webHidden/>
              </w:rPr>
              <w:fldChar w:fldCharType="end"/>
            </w:r>
          </w:hyperlink>
        </w:p>
        <w:p w14:paraId="3602D061" w14:textId="3AA7B72B" w:rsidR="00E06390" w:rsidRPr="00E06390" w:rsidRDefault="00E06390">
          <w:pPr>
            <w:pStyle w:val="TM3"/>
            <w:tabs>
              <w:tab w:val="right" w:leader="dot" w:pos="9488"/>
            </w:tabs>
            <w:rPr>
              <w:rFonts w:asciiTheme="minorHAnsi" w:eastAsiaTheme="minorEastAsia" w:hAnsiTheme="minorHAnsi" w:cstheme="minorHAnsi"/>
              <w:noProof/>
              <w:sz w:val="22"/>
              <w:szCs w:val="22"/>
            </w:rPr>
          </w:pPr>
          <w:hyperlink w:anchor="_Toc160615784" w:history="1">
            <w:r w:rsidRPr="00E06390">
              <w:rPr>
                <w:rStyle w:val="Lienhypertexte"/>
                <w:rFonts w:asciiTheme="minorHAnsi" w:hAnsiTheme="minorHAnsi" w:cstheme="minorHAnsi"/>
                <w:b/>
                <w:noProof/>
                <w:lang w:eastAsia="en-US"/>
              </w:rPr>
              <w:t>Congés et fermetures exceptionnelles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_Toc160615784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5</w:t>
            </w:r>
            <w:r w:rsidRPr="00E06390">
              <w:rPr>
                <w:rFonts w:asciiTheme="minorHAnsi" w:hAnsiTheme="minorHAnsi" w:cstheme="minorHAnsi"/>
                <w:noProof/>
                <w:webHidden/>
              </w:rPr>
              <w:fldChar w:fldCharType="end"/>
            </w:r>
          </w:hyperlink>
        </w:p>
        <w:p w14:paraId="2500E5BE" w14:textId="5A9F1B12" w:rsidR="00E06390" w:rsidRPr="00E06390" w:rsidRDefault="00E06390">
          <w:pPr>
            <w:pStyle w:val="TM1"/>
            <w:rPr>
              <w:rFonts w:asciiTheme="minorHAnsi" w:eastAsiaTheme="minorEastAsia" w:hAnsiTheme="minorHAnsi" w:cstheme="minorHAnsi"/>
              <w:noProof/>
              <w:sz w:val="22"/>
              <w:szCs w:val="22"/>
            </w:rPr>
          </w:pPr>
          <w:hyperlink w:anchor="_Toc160615785" w:history="1">
            <w:r w:rsidRPr="00E06390">
              <w:rPr>
                <w:rStyle w:val="Lienhypertexte"/>
                <w:rFonts w:asciiTheme="minorHAnsi" w:hAnsiTheme="minorHAnsi" w:cstheme="minorHAnsi"/>
                <w:noProof/>
              </w:rPr>
              <w:t>Article 5. Processus de Dispensation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_Toc160615785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6</w:t>
            </w:r>
            <w:r w:rsidRPr="00E06390">
              <w:rPr>
                <w:rFonts w:asciiTheme="minorHAnsi" w:hAnsiTheme="minorHAnsi" w:cstheme="minorHAnsi"/>
                <w:noProof/>
                <w:webHidden/>
              </w:rPr>
              <w:fldChar w:fldCharType="end"/>
            </w:r>
          </w:hyperlink>
        </w:p>
        <w:p w14:paraId="2E7A6EF5" w14:textId="238D469F" w:rsidR="00E06390" w:rsidRPr="00E06390" w:rsidRDefault="00E06390">
          <w:pPr>
            <w:pStyle w:val="TM2"/>
            <w:rPr>
              <w:rFonts w:asciiTheme="minorHAnsi" w:eastAsiaTheme="minorEastAsia" w:hAnsiTheme="minorHAnsi" w:cstheme="minorHAnsi"/>
              <w:noProof/>
              <w:sz w:val="22"/>
              <w:szCs w:val="22"/>
            </w:rPr>
          </w:pPr>
          <w:hyperlink w:anchor="_Toc160615786" w:history="1">
            <w:r w:rsidRPr="00E06390">
              <w:rPr>
                <w:rStyle w:val="Lienhypertexte"/>
                <w:rFonts w:asciiTheme="minorHAnsi" w:eastAsia="MS Gothic" w:hAnsiTheme="minorHAnsi" w:cstheme="minorHAnsi"/>
                <w:b/>
                <w:noProof/>
                <w:lang w:eastAsia="en-US"/>
              </w:rPr>
              <w:t>Prescription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_Toc160615786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6</w:t>
            </w:r>
            <w:r w:rsidRPr="00E06390">
              <w:rPr>
                <w:rFonts w:asciiTheme="minorHAnsi" w:hAnsiTheme="minorHAnsi" w:cstheme="minorHAnsi"/>
                <w:noProof/>
                <w:webHidden/>
              </w:rPr>
              <w:fldChar w:fldCharType="end"/>
            </w:r>
          </w:hyperlink>
        </w:p>
        <w:p w14:paraId="29FF8B0A" w14:textId="21EE848B" w:rsidR="00E06390" w:rsidRPr="00E06390" w:rsidRDefault="00E06390">
          <w:pPr>
            <w:pStyle w:val="TM2"/>
            <w:rPr>
              <w:rFonts w:asciiTheme="minorHAnsi" w:eastAsiaTheme="minorEastAsia" w:hAnsiTheme="minorHAnsi" w:cstheme="minorHAnsi"/>
              <w:noProof/>
              <w:sz w:val="22"/>
              <w:szCs w:val="22"/>
            </w:rPr>
          </w:pPr>
          <w:hyperlink w:anchor="_Toc160615787" w:history="1">
            <w:r w:rsidRPr="00E06390">
              <w:rPr>
                <w:rStyle w:val="Lienhypertexte"/>
                <w:rFonts w:asciiTheme="minorHAnsi" w:eastAsia="MS Gothic" w:hAnsiTheme="minorHAnsi" w:cstheme="minorHAnsi"/>
                <w:b/>
                <w:noProof/>
                <w:lang w:eastAsia="en-US"/>
              </w:rPr>
              <w:t>Dispensation pharmaceutique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_Toc160615787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6</w:t>
            </w:r>
            <w:r w:rsidRPr="00E06390">
              <w:rPr>
                <w:rFonts w:asciiTheme="minorHAnsi" w:hAnsiTheme="minorHAnsi" w:cstheme="minorHAnsi"/>
                <w:noProof/>
                <w:webHidden/>
              </w:rPr>
              <w:fldChar w:fldCharType="end"/>
            </w:r>
          </w:hyperlink>
        </w:p>
        <w:p w14:paraId="4B85D6E6" w14:textId="25A6DE19" w:rsidR="00E06390" w:rsidRPr="00E06390" w:rsidRDefault="00E06390">
          <w:pPr>
            <w:pStyle w:val="TM3"/>
            <w:tabs>
              <w:tab w:val="left" w:pos="880"/>
              <w:tab w:val="right" w:leader="dot" w:pos="9488"/>
            </w:tabs>
            <w:rPr>
              <w:rFonts w:asciiTheme="minorHAnsi" w:eastAsiaTheme="minorEastAsia" w:hAnsiTheme="minorHAnsi" w:cstheme="minorHAnsi"/>
              <w:noProof/>
              <w:sz w:val="22"/>
              <w:szCs w:val="22"/>
            </w:rPr>
          </w:pPr>
          <w:hyperlink w:anchor="_Toc160615788" w:history="1">
            <w:r w:rsidRPr="00E06390">
              <w:rPr>
                <w:rStyle w:val="Lienhypertexte"/>
                <w:rFonts w:asciiTheme="minorHAnsi" w:eastAsia="Calibri" w:hAnsiTheme="minorHAnsi" w:cstheme="minorHAnsi"/>
                <w:noProof/>
                <w:lang w:eastAsia="en-US"/>
              </w:rPr>
              <w:t>-</w:t>
            </w:r>
            <w:r w:rsidRPr="00E06390">
              <w:rPr>
                <w:rFonts w:asciiTheme="minorHAnsi" w:eastAsiaTheme="minorEastAsia" w:hAnsiTheme="minorHAnsi" w:cstheme="minorHAnsi"/>
                <w:noProof/>
                <w:sz w:val="22"/>
                <w:szCs w:val="22"/>
              </w:rPr>
              <w:tab/>
            </w:r>
            <w:r w:rsidRPr="00E06390">
              <w:rPr>
                <w:rStyle w:val="Lienhypertexte"/>
                <w:rFonts w:asciiTheme="minorHAnsi" w:eastAsia="Calibri" w:hAnsiTheme="minorHAnsi" w:cstheme="minorHAnsi"/>
                <w:b/>
                <w:noProof/>
                <w:lang w:eastAsia="en-US"/>
              </w:rPr>
              <w:t>situation 1 :</w:t>
            </w:r>
            <w:r w:rsidRPr="00E06390">
              <w:rPr>
                <w:rStyle w:val="Lienhypertexte"/>
                <w:rFonts w:asciiTheme="minorHAnsi" w:eastAsia="Calibri" w:hAnsiTheme="minorHAnsi" w:cstheme="minorHAnsi"/>
                <w:b/>
                <w:noProof/>
              </w:rPr>
              <w:t xml:space="preserve"> pas de prestation de PDA</w:t>
            </w:r>
            <w:r w:rsidRPr="00E06390">
              <w:rPr>
                <w:rStyle w:val="Lienhypertexte"/>
                <w:rFonts w:asciiTheme="minorHAnsi" w:eastAsia="Calibri" w:hAnsiTheme="minorHAnsi" w:cstheme="minorHAnsi"/>
                <w:b/>
                <w:noProof/>
                <w:lang w:eastAsia="en-US"/>
              </w:rPr>
              <w:t xml:space="preserve"> réalisée par l’officine.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_Toc160615788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6</w:t>
            </w:r>
            <w:r w:rsidRPr="00E06390">
              <w:rPr>
                <w:rFonts w:asciiTheme="minorHAnsi" w:hAnsiTheme="minorHAnsi" w:cstheme="minorHAnsi"/>
                <w:noProof/>
                <w:webHidden/>
              </w:rPr>
              <w:fldChar w:fldCharType="end"/>
            </w:r>
          </w:hyperlink>
        </w:p>
        <w:p w14:paraId="68920E58" w14:textId="1A7CD47D" w:rsidR="00E06390" w:rsidRPr="00E06390" w:rsidRDefault="00E06390">
          <w:pPr>
            <w:pStyle w:val="TM2"/>
            <w:rPr>
              <w:rFonts w:asciiTheme="minorHAnsi" w:eastAsiaTheme="minorEastAsia" w:hAnsiTheme="minorHAnsi" w:cstheme="minorHAnsi"/>
              <w:noProof/>
              <w:sz w:val="22"/>
              <w:szCs w:val="22"/>
            </w:rPr>
          </w:pPr>
          <w:hyperlink w:anchor="_Toc160615789" w:history="1">
            <w:r w:rsidRPr="00E06390">
              <w:rPr>
                <w:rStyle w:val="Lienhypertexte"/>
                <w:rFonts w:asciiTheme="minorHAnsi" w:eastAsia="MS Gothic" w:hAnsiTheme="minorHAnsi" w:cstheme="minorHAnsi"/>
                <w:b/>
                <w:noProof/>
                <w:lang w:eastAsia="en-US"/>
              </w:rPr>
              <w:t>Substitution des médicaments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_Toc160615789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8</w:t>
            </w:r>
            <w:r w:rsidRPr="00E06390">
              <w:rPr>
                <w:rFonts w:asciiTheme="minorHAnsi" w:hAnsiTheme="minorHAnsi" w:cstheme="minorHAnsi"/>
                <w:noProof/>
                <w:webHidden/>
              </w:rPr>
              <w:fldChar w:fldCharType="end"/>
            </w:r>
          </w:hyperlink>
        </w:p>
        <w:p w14:paraId="463D292C" w14:textId="299CC600" w:rsidR="00E06390" w:rsidRPr="00E06390" w:rsidRDefault="00E06390">
          <w:pPr>
            <w:pStyle w:val="TM2"/>
            <w:rPr>
              <w:rFonts w:asciiTheme="minorHAnsi" w:eastAsiaTheme="minorEastAsia" w:hAnsiTheme="minorHAnsi" w:cstheme="minorHAnsi"/>
              <w:noProof/>
              <w:sz w:val="22"/>
              <w:szCs w:val="22"/>
            </w:rPr>
          </w:pPr>
          <w:hyperlink w:anchor="_Toc160615790" w:history="1">
            <w:r w:rsidRPr="00E06390">
              <w:rPr>
                <w:rStyle w:val="Lienhypertexte"/>
                <w:rFonts w:asciiTheme="minorHAnsi" w:eastAsia="Calibri" w:hAnsiTheme="minorHAnsi" w:cstheme="minorHAnsi"/>
                <w:b/>
                <w:noProof/>
                <w:lang w:eastAsia="en-US"/>
              </w:rPr>
              <w:t>Quantité de médicaments délivrés :</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_Toc160615790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8</w:t>
            </w:r>
            <w:r w:rsidRPr="00E06390">
              <w:rPr>
                <w:rFonts w:asciiTheme="minorHAnsi" w:hAnsiTheme="minorHAnsi" w:cstheme="minorHAnsi"/>
                <w:noProof/>
                <w:webHidden/>
              </w:rPr>
              <w:fldChar w:fldCharType="end"/>
            </w:r>
          </w:hyperlink>
        </w:p>
        <w:p w14:paraId="336169B5" w14:textId="0CA2F6F4" w:rsidR="00E06390" w:rsidRPr="00E06390" w:rsidRDefault="00E06390">
          <w:pPr>
            <w:pStyle w:val="TM2"/>
            <w:rPr>
              <w:rFonts w:asciiTheme="minorHAnsi" w:eastAsiaTheme="minorEastAsia" w:hAnsiTheme="minorHAnsi" w:cstheme="minorHAnsi"/>
              <w:noProof/>
              <w:sz w:val="22"/>
              <w:szCs w:val="22"/>
            </w:rPr>
          </w:pPr>
          <w:hyperlink w:anchor="_Toc160615791" w:history="1">
            <w:r w:rsidRPr="00E06390">
              <w:rPr>
                <w:rStyle w:val="Lienhypertexte"/>
                <w:rFonts w:asciiTheme="minorHAnsi" w:hAnsiTheme="minorHAnsi" w:cstheme="minorHAnsi"/>
                <w:b/>
                <w:noProof/>
              </w:rPr>
              <w:t>Modalités de livraison et de transport</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_Toc160615791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8</w:t>
            </w:r>
            <w:r w:rsidRPr="00E06390">
              <w:rPr>
                <w:rFonts w:asciiTheme="minorHAnsi" w:hAnsiTheme="minorHAnsi" w:cstheme="minorHAnsi"/>
                <w:noProof/>
                <w:webHidden/>
              </w:rPr>
              <w:fldChar w:fldCharType="end"/>
            </w:r>
          </w:hyperlink>
        </w:p>
        <w:p w14:paraId="3B210DBC" w14:textId="20CB8E92" w:rsidR="00E06390" w:rsidRPr="00E06390" w:rsidRDefault="00E06390">
          <w:pPr>
            <w:pStyle w:val="TM2"/>
            <w:rPr>
              <w:rFonts w:asciiTheme="minorHAnsi" w:eastAsiaTheme="minorEastAsia" w:hAnsiTheme="minorHAnsi" w:cstheme="minorHAnsi"/>
              <w:noProof/>
              <w:sz w:val="22"/>
              <w:szCs w:val="22"/>
            </w:rPr>
          </w:pPr>
          <w:hyperlink w:anchor="_Toc160615792" w:history="1">
            <w:r w:rsidRPr="00E06390">
              <w:rPr>
                <w:rStyle w:val="Lienhypertexte"/>
                <w:rFonts w:asciiTheme="minorHAnsi" w:eastAsia="MS Gothic" w:hAnsiTheme="minorHAnsi" w:cstheme="minorHAnsi"/>
                <w:b/>
                <w:noProof/>
                <w:lang w:eastAsia="en-US"/>
              </w:rPr>
              <w:t>Réception et stockage dans l’ESSMS PH</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_Toc160615792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8</w:t>
            </w:r>
            <w:r w:rsidRPr="00E06390">
              <w:rPr>
                <w:rFonts w:asciiTheme="minorHAnsi" w:hAnsiTheme="minorHAnsi" w:cstheme="minorHAnsi"/>
                <w:noProof/>
                <w:webHidden/>
              </w:rPr>
              <w:fldChar w:fldCharType="end"/>
            </w:r>
          </w:hyperlink>
        </w:p>
        <w:p w14:paraId="7E18BBFC" w14:textId="22ED46E9" w:rsidR="00E06390" w:rsidRPr="00E06390" w:rsidRDefault="00E06390">
          <w:pPr>
            <w:pStyle w:val="TM2"/>
            <w:rPr>
              <w:rFonts w:asciiTheme="minorHAnsi" w:eastAsiaTheme="minorEastAsia" w:hAnsiTheme="minorHAnsi" w:cstheme="minorHAnsi"/>
              <w:noProof/>
              <w:sz w:val="22"/>
              <w:szCs w:val="22"/>
            </w:rPr>
          </w:pPr>
          <w:hyperlink w:anchor="_Toc160615793" w:history="1">
            <w:r w:rsidRPr="00E06390">
              <w:rPr>
                <w:rStyle w:val="Lienhypertexte"/>
                <w:rFonts w:asciiTheme="minorHAnsi" w:eastAsia="Calibri" w:hAnsiTheme="minorHAnsi" w:cstheme="minorHAnsi"/>
                <w:b/>
                <w:noProof/>
                <w:lang w:eastAsia="en-US"/>
              </w:rPr>
              <w:t>Traitement des non-conformités de PDA</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_Toc160615793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9</w:t>
            </w:r>
            <w:r w:rsidRPr="00E06390">
              <w:rPr>
                <w:rFonts w:asciiTheme="minorHAnsi" w:hAnsiTheme="minorHAnsi" w:cstheme="minorHAnsi"/>
                <w:noProof/>
                <w:webHidden/>
              </w:rPr>
              <w:fldChar w:fldCharType="end"/>
            </w:r>
          </w:hyperlink>
        </w:p>
        <w:p w14:paraId="15F0B8D2" w14:textId="2DA05853" w:rsidR="00E06390" w:rsidRPr="00E06390" w:rsidRDefault="00E06390">
          <w:pPr>
            <w:pStyle w:val="TM2"/>
            <w:rPr>
              <w:rFonts w:asciiTheme="minorHAnsi" w:eastAsiaTheme="minorEastAsia" w:hAnsiTheme="minorHAnsi" w:cstheme="minorHAnsi"/>
              <w:noProof/>
              <w:sz w:val="22"/>
              <w:szCs w:val="22"/>
            </w:rPr>
          </w:pPr>
          <w:hyperlink w:anchor="_Toc160615794" w:history="1">
            <w:r w:rsidRPr="00E06390">
              <w:rPr>
                <w:rStyle w:val="Lienhypertexte"/>
                <w:rFonts w:asciiTheme="minorHAnsi" w:eastAsia="MS Gothic" w:hAnsiTheme="minorHAnsi" w:cstheme="minorHAnsi"/>
                <w:b/>
                <w:noProof/>
                <w:lang w:eastAsia="en-US"/>
              </w:rPr>
              <w:t>Retour des médicaments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_Toc160615794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9</w:t>
            </w:r>
            <w:r w:rsidRPr="00E06390">
              <w:rPr>
                <w:rFonts w:asciiTheme="minorHAnsi" w:hAnsiTheme="minorHAnsi" w:cstheme="minorHAnsi"/>
                <w:noProof/>
                <w:webHidden/>
              </w:rPr>
              <w:fldChar w:fldCharType="end"/>
            </w:r>
          </w:hyperlink>
        </w:p>
        <w:p w14:paraId="4EEF16F2" w14:textId="6363FFC1" w:rsidR="00E06390" w:rsidRPr="00E06390" w:rsidRDefault="00E06390">
          <w:pPr>
            <w:pStyle w:val="TM1"/>
            <w:rPr>
              <w:rFonts w:asciiTheme="minorHAnsi" w:eastAsiaTheme="minorEastAsia" w:hAnsiTheme="minorHAnsi" w:cstheme="minorHAnsi"/>
              <w:noProof/>
              <w:sz w:val="22"/>
              <w:szCs w:val="22"/>
            </w:rPr>
          </w:pPr>
          <w:hyperlink w:anchor="_Toc160615795" w:history="1">
            <w:r w:rsidRPr="00E06390">
              <w:rPr>
                <w:rStyle w:val="Lienhypertexte"/>
                <w:rFonts w:asciiTheme="minorHAnsi" w:hAnsiTheme="minorHAnsi" w:cstheme="minorHAnsi"/>
                <w:noProof/>
              </w:rPr>
              <w:t>Article 6. Gestion des alertes sanitaires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_Toc160615795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9</w:t>
            </w:r>
            <w:r w:rsidRPr="00E06390">
              <w:rPr>
                <w:rFonts w:asciiTheme="minorHAnsi" w:hAnsiTheme="minorHAnsi" w:cstheme="minorHAnsi"/>
                <w:noProof/>
                <w:webHidden/>
              </w:rPr>
              <w:fldChar w:fldCharType="end"/>
            </w:r>
          </w:hyperlink>
        </w:p>
        <w:p w14:paraId="455026C4" w14:textId="61D96737" w:rsidR="00E06390" w:rsidRPr="00E06390" w:rsidRDefault="00E06390">
          <w:pPr>
            <w:pStyle w:val="TM1"/>
            <w:rPr>
              <w:rFonts w:asciiTheme="minorHAnsi" w:eastAsiaTheme="minorEastAsia" w:hAnsiTheme="minorHAnsi" w:cstheme="minorHAnsi"/>
              <w:noProof/>
              <w:sz w:val="22"/>
              <w:szCs w:val="22"/>
            </w:rPr>
          </w:pPr>
          <w:hyperlink w:anchor="_Toc160615796" w:history="1">
            <w:r w:rsidRPr="00E06390">
              <w:rPr>
                <w:rStyle w:val="Lienhypertexte"/>
                <w:rFonts w:asciiTheme="minorHAnsi" w:hAnsiTheme="minorHAnsi" w:cstheme="minorHAnsi"/>
                <w:noProof/>
              </w:rPr>
              <w:t>Article 7. Infirmier « référent médicament » de l’ESSMS PH</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_Toc160615796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9</w:t>
            </w:r>
            <w:r w:rsidRPr="00E06390">
              <w:rPr>
                <w:rFonts w:asciiTheme="minorHAnsi" w:hAnsiTheme="minorHAnsi" w:cstheme="minorHAnsi"/>
                <w:noProof/>
                <w:webHidden/>
              </w:rPr>
              <w:fldChar w:fldCharType="end"/>
            </w:r>
          </w:hyperlink>
        </w:p>
        <w:p w14:paraId="2EEC19C7" w14:textId="05FF8FD1" w:rsidR="00E06390" w:rsidRPr="00E06390" w:rsidRDefault="00E06390">
          <w:pPr>
            <w:pStyle w:val="TM1"/>
            <w:rPr>
              <w:rFonts w:asciiTheme="minorHAnsi" w:eastAsiaTheme="minorEastAsia" w:hAnsiTheme="minorHAnsi" w:cstheme="minorHAnsi"/>
              <w:noProof/>
              <w:sz w:val="22"/>
              <w:szCs w:val="22"/>
            </w:rPr>
          </w:pPr>
          <w:hyperlink w:anchor="_Toc160615797" w:history="1">
            <w:r w:rsidRPr="00E06390">
              <w:rPr>
                <w:rStyle w:val="Lienhypertexte"/>
                <w:rFonts w:asciiTheme="minorHAnsi" w:hAnsiTheme="minorHAnsi" w:cstheme="minorHAnsi"/>
                <w:noProof/>
              </w:rPr>
              <w:t>Article 8. Missions du pharmacien référent</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_Toc160615797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9</w:t>
            </w:r>
            <w:r w:rsidRPr="00E06390">
              <w:rPr>
                <w:rFonts w:asciiTheme="minorHAnsi" w:hAnsiTheme="minorHAnsi" w:cstheme="minorHAnsi"/>
                <w:noProof/>
                <w:webHidden/>
              </w:rPr>
              <w:fldChar w:fldCharType="end"/>
            </w:r>
          </w:hyperlink>
        </w:p>
        <w:p w14:paraId="32A5A256" w14:textId="1E5E6668" w:rsidR="00E06390" w:rsidRPr="00E06390" w:rsidRDefault="00E06390">
          <w:pPr>
            <w:pStyle w:val="TM1"/>
            <w:rPr>
              <w:rFonts w:asciiTheme="minorHAnsi" w:eastAsiaTheme="minorEastAsia" w:hAnsiTheme="minorHAnsi" w:cstheme="minorHAnsi"/>
              <w:noProof/>
              <w:sz w:val="22"/>
              <w:szCs w:val="22"/>
            </w:rPr>
          </w:pPr>
          <w:hyperlink w:anchor="_Toc160615798" w:history="1">
            <w:r w:rsidRPr="00E06390">
              <w:rPr>
                <w:rStyle w:val="Lienhypertexte"/>
                <w:rFonts w:asciiTheme="minorHAnsi" w:hAnsiTheme="minorHAnsi" w:cstheme="minorHAnsi"/>
                <w:noProof/>
              </w:rPr>
              <w:t>Article 9. Tarification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_Toc160615798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10</w:t>
            </w:r>
            <w:r w:rsidRPr="00E06390">
              <w:rPr>
                <w:rFonts w:asciiTheme="minorHAnsi" w:hAnsiTheme="minorHAnsi" w:cstheme="minorHAnsi"/>
                <w:noProof/>
                <w:webHidden/>
              </w:rPr>
              <w:fldChar w:fldCharType="end"/>
            </w:r>
          </w:hyperlink>
        </w:p>
        <w:p w14:paraId="17519C2E" w14:textId="4153708F" w:rsidR="00E06390" w:rsidRPr="00E06390" w:rsidRDefault="00E06390">
          <w:pPr>
            <w:pStyle w:val="TM2"/>
            <w:rPr>
              <w:rFonts w:asciiTheme="minorHAnsi" w:eastAsiaTheme="minorEastAsia" w:hAnsiTheme="minorHAnsi" w:cstheme="minorHAnsi"/>
              <w:noProof/>
              <w:sz w:val="22"/>
              <w:szCs w:val="22"/>
            </w:rPr>
          </w:pPr>
          <w:hyperlink w:anchor="_Toc160615799" w:history="1">
            <w:r w:rsidRPr="00E06390">
              <w:rPr>
                <w:rStyle w:val="Lienhypertexte"/>
                <w:rFonts w:asciiTheme="minorHAnsi" w:eastAsia="MS Gothic" w:hAnsiTheme="minorHAnsi" w:cstheme="minorHAnsi"/>
                <w:b/>
                <w:noProof/>
                <w:lang w:eastAsia="en-US"/>
              </w:rPr>
              <w:t>Tarification des produits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_Toc160615799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10</w:t>
            </w:r>
            <w:r w:rsidRPr="00E06390">
              <w:rPr>
                <w:rFonts w:asciiTheme="minorHAnsi" w:hAnsiTheme="minorHAnsi" w:cstheme="minorHAnsi"/>
                <w:noProof/>
                <w:webHidden/>
              </w:rPr>
              <w:fldChar w:fldCharType="end"/>
            </w:r>
          </w:hyperlink>
        </w:p>
        <w:p w14:paraId="30E14982" w14:textId="73E8A309" w:rsidR="00E06390" w:rsidRPr="00E06390" w:rsidRDefault="00E06390">
          <w:pPr>
            <w:pStyle w:val="TM2"/>
            <w:rPr>
              <w:rFonts w:asciiTheme="minorHAnsi" w:eastAsiaTheme="minorEastAsia" w:hAnsiTheme="minorHAnsi" w:cstheme="minorHAnsi"/>
              <w:noProof/>
              <w:sz w:val="22"/>
              <w:szCs w:val="22"/>
            </w:rPr>
          </w:pPr>
          <w:hyperlink w:anchor="_Toc160615800" w:history="1">
            <w:r w:rsidRPr="00E06390">
              <w:rPr>
                <w:rStyle w:val="Lienhypertexte"/>
                <w:rFonts w:asciiTheme="minorHAnsi" w:eastAsia="MS Gothic" w:hAnsiTheme="minorHAnsi" w:cstheme="minorHAnsi"/>
                <w:b/>
                <w:noProof/>
                <w:lang w:eastAsia="en-US"/>
              </w:rPr>
              <w:t>Tarification de la prestation de PDA</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_Toc160615800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10</w:t>
            </w:r>
            <w:r w:rsidRPr="00E06390">
              <w:rPr>
                <w:rFonts w:asciiTheme="minorHAnsi" w:hAnsiTheme="minorHAnsi" w:cstheme="minorHAnsi"/>
                <w:noProof/>
                <w:webHidden/>
              </w:rPr>
              <w:fldChar w:fldCharType="end"/>
            </w:r>
          </w:hyperlink>
        </w:p>
        <w:p w14:paraId="4DCDCDED" w14:textId="421D2FFA" w:rsidR="00E06390" w:rsidRPr="00E06390" w:rsidRDefault="00E06390">
          <w:pPr>
            <w:pStyle w:val="TM1"/>
            <w:rPr>
              <w:rFonts w:asciiTheme="minorHAnsi" w:eastAsiaTheme="minorEastAsia" w:hAnsiTheme="minorHAnsi" w:cstheme="minorHAnsi"/>
              <w:noProof/>
              <w:sz w:val="22"/>
              <w:szCs w:val="22"/>
            </w:rPr>
          </w:pPr>
          <w:hyperlink w:anchor="_Toc160615801" w:history="1">
            <w:r w:rsidRPr="00E06390">
              <w:rPr>
                <w:rStyle w:val="Lienhypertexte"/>
                <w:rFonts w:asciiTheme="minorHAnsi" w:hAnsiTheme="minorHAnsi" w:cstheme="minorHAnsi"/>
                <w:noProof/>
              </w:rPr>
              <w:t>Article 10. Durée et résiliation de la convention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_Toc160615801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10</w:t>
            </w:r>
            <w:r w:rsidRPr="00E06390">
              <w:rPr>
                <w:rFonts w:asciiTheme="minorHAnsi" w:hAnsiTheme="minorHAnsi" w:cstheme="minorHAnsi"/>
                <w:noProof/>
                <w:webHidden/>
              </w:rPr>
              <w:fldChar w:fldCharType="end"/>
            </w:r>
          </w:hyperlink>
        </w:p>
        <w:p w14:paraId="6B61E4CC" w14:textId="5446D889" w:rsidR="00E06390" w:rsidRPr="00E06390" w:rsidRDefault="00E06390">
          <w:pPr>
            <w:pStyle w:val="TM1"/>
            <w:rPr>
              <w:rFonts w:asciiTheme="minorHAnsi" w:eastAsiaTheme="minorEastAsia" w:hAnsiTheme="minorHAnsi" w:cstheme="minorHAnsi"/>
              <w:noProof/>
              <w:sz w:val="22"/>
              <w:szCs w:val="22"/>
            </w:rPr>
          </w:pPr>
          <w:hyperlink w:anchor="_Toc160615802" w:history="1">
            <w:r w:rsidRPr="00E06390">
              <w:rPr>
                <w:rStyle w:val="Lienhypertexte"/>
                <w:rFonts w:asciiTheme="minorHAnsi" w:hAnsiTheme="minorHAnsi" w:cstheme="minorHAnsi"/>
                <w:noProof/>
              </w:rPr>
              <w:t>Article 11. Transmission de la convention</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_Toc160615802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10</w:t>
            </w:r>
            <w:r w:rsidRPr="00E06390">
              <w:rPr>
                <w:rFonts w:asciiTheme="minorHAnsi" w:hAnsiTheme="minorHAnsi" w:cstheme="minorHAnsi"/>
                <w:noProof/>
                <w:webHidden/>
              </w:rPr>
              <w:fldChar w:fldCharType="end"/>
            </w:r>
          </w:hyperlink>
        </w:p>
        <w:p w14:paraId="25934EF0" w14:textId="6DEB76FE" w:rsidR="00E06390" w:rsidRPr="00E06390" w:rsidRDefault="00E06390">
          <w:pPr>
            <w:pStyle w:val="TM1"/>
            <w:rPr>
              <w:rFonts w:asciiTheme="minorHAnsi" w:eastAsiaTheme="minorEastAsia" w:hAnsiTheme="minorHAnsi" w:cstheme="minorHAnsi"/>
              <w:noProof/>
              <w:sz w:val="22"/>
              <w:szCs w:val="22"/>
            </w:rPr>
          </w:pPr>
          <w:hyperlink w:anchor="_Toc160615803" w:history="1">
            <w:r w:rsidRPr="00E06390">
              <w:rPr>
                <w:rStyle w:val="Lienhypertexte"/>
                <w:rFonts w:asciiTheme="minorHAnsi" w:hAnsiTheme="minorHAnsi" w:cstheme="minorHAnsi"/>
                <w:noProof/>
              </w:rPr>
              <w:t>ANNEXES</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_Toc160615803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11</w:t>
            </w:r>
            <w:r w:rsidRPr="00E06390">
              <w:rPr>
                <w:rFonts w:asciiTheme="minorHAnsi" w:hAnsiTheme="minorHAnsi" w:cstheme="minorHAnsi"/>
                <w:noProof/>
                <w:webHidden/>
              </w:rPr>
              <w:fldChar w:fldCharType="end"/>
            </w:r>
          </w:hyperlink>
        </w:p>
        <w:p w14:paraId="1F480529" w14:textId="5244EBC0" w:rsidR="00E06390" w:rsidRPr="00E06390" w:rsidRDefault="00E06390">
          <w:pPr>
            <w:pStyle w:val="TM2"/>
            <w:rPr>
              <w:rFonts w:asciiTheme="minorHAnsi" w:eastAsiaTheme="minorEastAsia" w:hAnsiTheme="minorHAnsi" w:cstheme="minorHAnsi"/>
              <w:noProof/>
              <w:sz w:val="22"/>
              <w:szCs w:val="22"/>
            </w:rPr>
          </w:pPr>
          <w:hyperlink w:anchor="_Toc160615804" w:history="1">
            <w:r w:rsidRPr="00E06390">
              <w:rPr>
                <w:rStyle w:val="Lienhypertexte"/>
                <w:rFonts w:asciiTheme="minorHAnsi" w:eastAsia="MS Gothic" w:hAnsiTheme="minorHAnsi" w:cstheme="minorHAnsi"/>
                <w:noProof/>
                <w:lang w:eastAsia="en-US"/>
              </w:rPr>
              <w:t>Demande d’accord du résident relatif à la prestation pharmaceutique</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_Toc160615804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11</w:t>
            </w:r>
            <w:r w:rsidRPr="00E06390">
              <w:rPr>
                <w:rFonts w:asciiTheme="minorHAnsi" w:hAnsiTheme="minorHAnsi" w:cstheme="minorHAnsi"/>
                <w:noProof/>
                <w:webHidden/>
              </w:rPr>
              <w:fldChar w:fldCharType="end"/>
            </w:r>
          </w:hyperlink>
        </w:p>
        <w:p w14:paraId="28FAC3AC" w14:textId="71AD7020" w:rsidR="00E06390" w:rsidRPr="00E06390" w:rsidRDefault="00E06390">
          <w:pPr>
            <w:pStyle w:val="TM1"/>
            <w:rPr>
              <w:rFonts w:asciiTheme="minorHAnsi" w:eastAsiaTheme="minorEastAsia" w:hAnsiTheme="minorHAnsi" w:cstheme="minorHAnsi"/>
              <w:noProof/>
              <w:sz w:val="22"/>
              <w:szCs w:val="22"/>
            </w:rPr>
          </w:pPr>
          <w:hyperlink w:anchor="_Toc160615805" w:history="1">
            <w:r w:rsidRPr="00E06390">
              <w:rPr>
                <w:rStyle w:val="Lienhypertexte"/>
                <w:rFonts w:asciiTheme="minorHAnsi" w:hAnsiTheme="minorHAnsi" w:cstheme="minorHAnsi"/>
                <w:noProof/>
              </w:rPr>
              <w:t>Eléments complémentaires pouvant</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_Toc160615805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12</w:t>
            </w:r>
            <w:r w:rsidRPr="00E06390">
              <w:rPr>
                <w:rFonts w:asciiTheme="minorHAnsi" w:hAnsiTheme="minorHAnsi" w:cstheme="minorHAnsi"/>
                <w:noProof/>
                <w:webHidden/>
              </w:rPr>
              <w:fldChar w:fldCharType="end"/>
            </w:r>
          </w:hyperlink>
        </w:p>
        <w:p w14:paraId="373165CB" w14:textId="47D79D86" w:rsidR="00E06390" w:rsidRDefault="00E06390">
          <w:pPr>
            <w:pStyle w:val="TM1"/>
            <w:rPr>
              <w:rFonts w:asciiTheme="minorHAnsi" w:eastAsiaTheme="minorEastAsia" w:hAnsiTheme="minorHAnsi" w:cstheme="minorBidi"/>
              <w:noProof/>
              <w:sz w:val="22"/>
              <w:szCs w:val="22"/>
            </w:rPr>
          </w:pPr>
          <w:hyperlink w:anchor="_Toc160615806" w:history="1">
            <w:r w:rsidRPr="00E06390">
              <w:rPr>
                <w:rStyle w:val="Lienhypertexte"/>
                <w:rFonts w:asciiTheme="minorHAnsi" w:hAnsiTheme="minorHAnsi" w:cstheme="minorHAnsi"/>
                <w:noProof/>
              </w:rPr>
              <w:t>faciliter l’élaboration de la convention  :</w:t>
            </w:r>
            <w:r w:rsidRPr="00E06390">
              <w:rPr>
                <w:rFonts w:asciiTheme="minorHAnsi" w:hAnsiTheme="minorHAnsi" w:cstheme="minorHAnsi"/>
                <w:noProof/>
                <w:webHidden/>
              </w:rPr>
              <w:tab/>
            </w:r>
            <w:r w:rsidRPr="00E06390">
              <w:rPr>
                <w:rFonts w:asciiTheme="minorHAnsi" w:hAnsiTheme="minorHAnsi" w:cstheme="minorHAnsi"/>
                <w:noProof/>
                <w:webHidden/>
              </w:rPr>
              <w:fldChar w:fldCharType="begin"/>
            </w:r>
            <w:r w:rsidRPr="00E06390">
              <w:rPr>
                <w:rFonts w:asciiTheme="minorHAnsi" w:hAnsiTheme="minorHAnsi" w:cstheme="minorHAnsi"/>
                <w:noProof/>
                <w:webHidden/>
              </w:rPr>
              <w:instrText xml:space="preserve"> PAGEREF _Toc160615806 \h </w:instrText>
            </w:r>
            <w:r w:rsidRPr="00E06390">
              <w:rPr>
                <w:rFonts w:asciiTheme="minorHAnsi" w:hAnsiTheme="minorHAnsi" w:cstheme="minorHAnsi"/>
                <w:noProof/>
                <w:webHidden/>
              </w:rPr>
            </w:r>
            <w:r w:rsidRPr="00E06390">
              <w:rPr>
                <w:rFonts w:asciiTheme="minorHAnsi" w:hAnsiTheme="minorHAnsi" w:cstheme="minorHAnsi"/>
                <w:noProof/>
                <w:webHidden/>
              </w:rPr>
              <w:fldChar w:fldCharType="separate"/>
            </w:r>
            <w:r w:rsidRPr="00E06390">
              <w:rPr>
                <w:rFonts w:asciiTheme="minorHAnsi" w:hAnsiTheme="minorHAnsi" w:cstheme="minorHAnsi"/>
                <w:noProof/>
                <w:webHidden/>
              </w:rPr>
              <w:t>12</w:t>
            </w:r>
            <w:r w:rsidRPr="00E06390">
              <w:rPr>
                <w:rFonts w:asciiTheme="minorHAnsi" w:hAnsiTheme="minorHAnsi" w:cstheme="minorHAnsi"/>
                <w:noProof/>
                <w:webHidden/>
              </w:rPr>
              <w:fldChar w:fldCharType="end"/>
            </w:r>
          </w:hyperlink>
        </w:p>
        <w:p w14:paraId="4F0B8685" w14:textId="44975B54" w:rsidR="00E152B2" w:rsidRPr="00762B41" w:rsidRDefault="00E152B2" w:rsidP="00762B41">
          <w:pPr>
            <w:pStyle w:val="TM2"/>
            <w:ind w:left="0"/>
          </w:pPr>
          <w:r w:rsidRPr="00762B41">
            <w:fldChar w:fldCharType="end"/>
          </w:r>
        </w:p>
      </w:sdtContent>
    </w:sdt>
    <w:p w14:paraId="083468F9" w14:textId="77777777" w:rsidR="007A692D" w:rsidRPr="00762B41" w:rsidRDefault="007A692D" w:rsidP="00762B41">
      <w:pPr>
        <w:rPr>
          <w:rFonts w:asciiTheme="majorHAnsi" w:hAnsiTheme="majorHAnsi" w:cstheme="majorHAnsi"/>
          <w:color w:val="0070C0"/>
        </w:rPr>
      </w:pPr>
    </w:p>
    <w:p w14:paraId="5DABC4F7" w14:textId="77777777" w:rsidR="00E152B2" w:rsidRPr="00762B41" w:rsidRDefault="00E152B2" w:rsidP="00762B41">
      <w:pPr>
        <w:suppressAutoHyphens/>
        <w:spacing w:after="120"/>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Conformément à l’article L.5126-10 du Code de la santé publique,</w:t>
      </w:r>
    </w:p>
    <w:p w14:paraId="21B00D87"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Conformément à la demande d’accord du résident relatif à la prestation pharmaceutique portant désignation du pharmacien référent (</w:t>
      </w:r>
      <w:proofErr w:type="spellStart"/>
      <w:r w:rsidRPr="00762B41">
        <w:rPr>
          <w:rFonts w:asciiTheme="majorHAnsi" w:eastAsia="Calibri" w:hAnsiTheme="majorHAnsi" w:cstheme="majorHAnsi"/>
          <w:sz w:val="22"/>
          <w:szCs w:val="22"/>
          <w:lang w:eastAsia="en-US"/>
        </w:rPr>
        <w:t>cf</w:t>
      </w:r>
      <w:proofErr w:type="spellEnd"/>
      <w:r w:rsidRPr="00762B41">
        <w:rPr>
          <w:rFonts w:asciiTheme="majorHAnsi" w:eastAsia="Calibri" w:hAnsiTheme="majorHAnsi" w:cstheme="majorHAnsi"/>
          <w:sz w:val="22"/>
          <w:szCs w:val="22"/>
          <w:lang w:eastAsia="en-US"/>
        </w:rPr>
        <w:t xml:space="preserve"> Annexe),</w:t>
      </w:r>
    </w:p>
    <w:p w14:paraId="7A03A6B1" w14:textId="77777777" w:rsidR="00E152B2" w:rsidRPr="00762B41" w:rsidRDefault="00E152B2" w:rsidP="00762B41">
      <w:pPr>
        <w:suppressAutoHyphens/>
        <w:spacing w:after="120"/>
        <w:jc w:val="both"/>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t>Entre les soussignés</w:t>
      </w:r>
    </w:p>
    <w:p w14:paraId="791ECC68" w14:textId="47917D80"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Madame, Monsieur ____________________________________, agissant en qualité de représentant légal de l’établissement « </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 :   ___________________________________________________</w:t>
      </w:r>
    </w:p>
    <w:p w14:paraId="2D94B894" w14:textId="77777777" w:rsidR="00ED2A59" w:rsidRPr="00762B41" w:rsidRDefault="00ED2A59" w:rsidP="00762B41">
      <w:pPr>
        <w:suppressAutoHyphens/>
        <w:spacing w:after="120"/>
        <w:jc w:val="both"/>
        <w:rPr>
          <w:rFonts w:asciiTheme="majorHAnsi" w:eastAsia="Calibri" w:hAnsiTheme="majorHAnsi" w:cstheme="majorHAnsi"/>
          <w:sz w:val="22"/>
          <w:szCs w:val="22"/>
          <w:lang w:eastAsia="en-US"/>
        </w:rPr>
      </w:pPr>
    </w:p>
    <w:p w14:paraId="3D79D6EA"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Cs w:val="22"/>
          <w:lang w:eastAsia="en-US"/>
        </w:rPr>
      </w:pPr>
      <w:r w:rsidRPr="00762B41">
        <w:rPr>
          <w:rFonts w:asciiTheme="majorHAnsi" w:eastAsia="Calibri" w:hAnsiTheme="majorHAnsi" w:cstheme="majorHAnsi"/>
          <w:i/>
          <w:szCs w:val="22"/>
          <w:lang w:eastAsia="en-US"/>
        </w:rPr>
        <w:t>A noter, une même convention peut concerner plusieurs structures (par exemple appartenant à un même gestionnaire/fondation/association et implantées dans un périmètre géographique compatible avec la pharmacie d’officine contractante). Cette convention doit être signée par l’ensemble des parties contractantes.</w:t>
      </w:r>
    </w:p>
    <w:p w14:paraId="06369DFC"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Cs w:val="22"/>
          <w:lang w:eastAsia="en-US"/>
        </w:rPr>
      </w:pPr>
      <w:r w:rsidRPr="00762B41">
        <w:rPr>
          <w:rFonts w:asciiTheme="majorHAnsi" w:eastAsia="Calibri" w:hAnsiTheme="majorHAnsi" w:cstheme="majorHAnsi"/>
          <w:i/>
          <w:szCs w:val="22"/>
          <w:lang w:eastAsia="en-US"/>
        </w:rPr>
        <w:t>Ajoutez le nombre de soussignés nécessaires :  </w:t>
      </w:r>
    </w:p>
    <w:p w14:paraId="78579141" w14:textId="6EC5ED82"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szCs w:val="22"/>
          <w:lang w:eastAsia="en-US"/>
        </w:rPr>
      </w:pPr>
      <w:r w:rsidRPr="00762B41">
        <w:rPr>
          <w:rFonts w:asciiTheme="majorHAnsi" w:eastAsia="Calibri" w:hAnsiTheme="majorHAnsi" w:cstheme="majorHAnsi"/>
          <w:i/>
          <w:szCs w:val="22"/>
          <w:lang w:eastAsia="en-US"/>
        </w:rPr>
        <w:t>« </w:t>
      </w:r>
      <w:r w:rsidRPr="00762B41">
        <w:rPr>
          <w:rFonts w:asciiTheme="majorHAnsi" w:eastAsia="Calibri" w:hAnsiTheme="majorHAnsi" w:cstheme="majorHAnsi"/>
          <w:szCs w:val="22"/>
          <w:lang w:eastAsia="en-US"/>
        </w:rPr>
        <w:t>Madame, Monsieur ____________________________________, agissant en qualité de représentant légal de l’établissement « </w:t>
      </w:r>
      <w:r w:rsidR="00887929">
        <w:rPr>
          <w:rFonts w:asciiTheme="majorHAnsi" w:eastAsia="Calibri" w:hAnsiTheme="majorHAnsi" w:cstheme="majorHAnsi"/>
          <w:szCs w:val="22"/>
          <w:lang w:eastAsia="en-US"/>
        </w:rPr>
        <w:t>ESSMS PH</w:t>
      </w:r>
      <w:r w:rsidRPr="00762B41">
        <w:rPr>
          <w:rFonts w:asciiTheme="majorHAnsi" w:eastAsia="Calibri" w:hAnsiTheme="majorHAnsi" w:cstheme="majorHAnsi"/>
          <w:szCs w:val="22"/>
          <w:lang w:eastAsia="en-US"/>
        </w:rPr>
        <w:t> » :   ___________________________________________________ »</w:t>
      </w:r>
    </w:p>
    <w:p w14:paraId="526C5A1B" w14:textId="17007113"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Cs w:val="22"/>
          <w:lang w:eastAsia="en-US"/>
        </w:rPr>
      </w:pPr>
      <w:r w:rsidRPr="00762B41">
        <w:rPr>
          <w:rFonts w:asciiTheme="majorHAnsi" w:eastAsia="Calibri" w:hAnsiTheme="majorHAnsi" w:cstheme="majorHAnsi"/>
          <w:i/>
          <w:szCs w:val="22"/>
          <w:lang w:eastAsia="en-US"/>
        </w:rPr>
        <w:t xml:space="preserve">Précisez, à chaque fois que cela est nécessaire, si les modalités d’organisation définies entre les </w:t>
      </w:r>
      <w:r w:rsidR="00887929">
        <w:rPr>
          <w:rFonts w:asciiTheme="majorHAnsi" w:eastAsia="Calibri" w:hAnsiTheme="majorHAnsi" w:cstheme="majorHAnsi"/>
          <w:i/>
          <w:szCs w:val="22"/>
          <w:lang w:eastAsia="en-US"/>
        </w:rPr>
        <w:t>ESSMS PH</w:t>
      </w:r>
      <w:r w:rsidRPr="00762B41">
        <w:rPr>
          <w:rFonts w:asciiTheme="majorHAnsi" w:eastAsia="Calibri" w:hAnsiTheme="majorHAnsi" w:cstheme="majorHAnsi"/>
          <w:i/>
          <w:szCs w:val="22"/>
          <w:lang w:eastAsia="en-US"/>
        </w:rPr>
        <w:t xml:space="preserve"> et la pharmacie d’officine s’appliquent à une partie ou à l’ensemble des </w:t>
      </w:r>
      <w:r w:rsidR="00887929">
        <w:rPr>
          <w:rFonts w:asciiTheme="majorHAnsi" w:eastAsia="Calibri" w:hAnsiTheme="majorHAnsi" w:cstheme="majorHAnsi"/>
          <w:i/>
          <w:szCs w:val="22"/>
          <w:lang w:eastAsia="en-US"/>
        </w:rPr>
        <w:t>ESSMS PH</w:t>
      </w:r>
      <w:r w:rsidRPr="00762B41">
        <w:rPr>
          <w:rFonts w:asciiTheme="majorHAnsi" w:eastAsia="Calibri" w:hAnsiTheme="majorHAnsi" w:cstheme="majorHAnsi"/>
          <w:i/>
          <w:szCs w:val="22"/>
          <w:lang w:eastAsia="en-US"/>
        </w:rPr>
        <w:t xml:space="preserve"> signataires (par exemple jour de livraison des médicaments pour l’</w:t>
      </w:r>
      <w:r w:rsidR="00887929">
        <w:rPr>
          <w:rFonts w:asciiTheme="majorHAnsi" w:eastAsia="Calibri" w:hAnsiTheme="majorHAnsi" w:cstheme="majorHAnsi"/>
          <w:i/>
          <w:szCs w:val="22"/>
          <w:lang w:eastAsia="en-US"/>
        </w:rPr>
        <w:t>ESSMS PH</w:t>
      </w:r>
      <w:r w:rsidRPr="00762B41">
        <w:rPr>
          <w:rFonts w:asciiTheme="majorHAnsi" w:eastAsia="Calibri" w:hAnsiTheme="majorHAnsi" w:cstheme="majorHAnsi"/>
          <w:i/>
          <w:szCs w:val="22"/>
          <w:lang w:eastAsia="en-US"/>
        </w:rPr>
        <w:t xml:space="preserve"> A et B le mardi et pour l’</w:t>
      </w:r>
      <w:r w:rsidR="00887929">
        <w:rPr>
          <w:rFonts w:asciiTheme="majorHAnsi" w:eastAsia="Calibri" w:hAnsiTheme="majorHAnsi" w:cstheme="majorHAnsi"/>
          <w:i/>
          <w:szCs w:val="22"/>
          <w:lang w:eastAsia="en-US"/>
        </w:rPr>
        <w:t>ESSMS PH</w:t>
      </w:r>
      <w:r w:rsidRPr="00762B41">
        <w:rPr>
          <w:rFonts w:asciiTheme="majorHAnsi" w:eastAsia="Calibri" w:hAnsiTheme="majorHAnsi" w:cstheme="majorHAnsi"/>
          <w:i/>
          <w:szCs w:val="22"/>
          <w:lang w:eastAsia="en-US"/>
        </w:rPr>
        <w:t xml:space="preserve"> C le jeudi). </w:t>
      </w:r>
    </w:p>
    <w:p w14:paraId="21C9A271" w14:textId="77777777" w:rsidR="00ED2A59" w:rsidRPr="00762B41" w:rsidRDefault="00ED2A59" w:rsidP="00762B41">
      <w:pPr>
        <w:suppressAutoHyphens/>
        <w:spacing w:after="120"/>
        <w:jc w:val="both"/>
        <w:rPr>
          <w:rFonts w:asciiTheme="majorHAnsi" w:eastAsia="Calibri" w:hAnsiTheme="majorHAnsi" w:cstheme="majorHAnsi"/>
          <w:sz w:val="22"/>
          <w:szCs w:val="22"/>
          <w:lang w:eastAsia="en-US"/>
        </w:rPr>
      </w:pPr>
    </w:p>
    <w:p w14:paraId="4F697A5A"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Et</w:t>
      </w:r>
    </w:p>
    <w:p w14:paraId="1C87BC78"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Madame, Monsieur __________________________, docteur en pharmacie agissant en qualité de pharmacien titulaire, exerçant au sein de la pharmacie d’officine :                    __________________________________________________________________________________                                                                                       </w:t>
      </w:r>
    </w:p>
    <w:p w14:paraId="1E55FF0B" w14:textId="2C520E5B" w:rsidR="00E152B2" w:rsidRPr="0009217A" w:rsidRDefault="00E152B2" w:rsidP="00762B41">
      <w:pPr>
        <w:suppressAutoHyphens/>
        <w:spacing w:after="120"/>
        <w:rPr>
          <w:rFonts w:asciiTheme="majorHAnsi" w:eastAsia="Calibri" w:hAnsiTheme="majorHAnsi" w:cstheme="majorHAnsi"/>
          <w:sz w:val="22"/>
          <w:szCs w:val="22"/>
          <w:lang w:eastAsia="en-US"/>
        </w:rPr>
      </w:pPr>
      <w:r w:rsidRPr="00762B41">
        <w:rPr>
          <w:rFonts w:asciiTheme="majorHAnsi" w:eastAsia="Calibri" w:hAnsiTheme="majorHAnsi" w:cstheme="majorHAnsi"/>
          <w:bCs/>
          <w:sz w:val="22"/>
          <w:szCs w:val="10"/>
          <w:lang w:eastAsia="en-US"/>
        </w:rPr>
        <w:t xml:space="preserve">Et en tant </w:t>
      </w:r>
      <w:r w:rsidR="000A1FC2" w:rsidRPr="00762B41">
        <w:rPr>
          <w:rFonts w:asciiTheme="majorHAnsi" w:eastAsia="Calibri" w:hAnsiTheme="majorHAnsi" w:cstheme="majorHAnsi"/>
          <w:bCs/>
          <w:sz w:val="22"/>
          <w:szCs w:val="10"/>
          <w:lang w:eastAsia="en-US"/>
        </w:rPr>
        <w:t xml:space="preserve">que </w:t>
      </w:r>
      <w:r w:rsidR="000A1FC2" w:rsidRPr="00762B41">
        <w:rPr>
          <w:rFonts w:asciiTheme="majorHAnsi" w:eastAsia="Calibri" w:hAnsiTheme="majorHAnsi" w:cstheme="majorHAnsi"/>
          <w:sz w:val="22"/>
          <w:szCs w:val="22"/>
          <w:lang w:eastAsia="en-US"/>
        </w:rPr>
        <w:t xml:space="preserve">pharmacien référent ou/et dispensateur </w:t>
      </w:r>
      <w:r w:rsidRPr="00762B41">
        <w:rPr>
          <w:rFonts w:asciiTheme="majorHAnsi" w:eastAsia="Calibri" w:hAnsiTheme="majorHAnsi" w:cstheme="majorHAnsi"/>
          <w:bCs/>
          <w:sz w:val="22"/>
          <w:szCs w:val="10"/>
          <w:lang w:eastAsia="en-US"/>
        </w:rPr>
        <w:t xml:space="preserve">pour l’établissement « </w:t>
      </w:r>
      <w:r w:rsidR="00887929">
        <w:rPr>
          <w:rFonts w:asciiTheme="majorHAnsi" w:eastAsia="Calibri" w:hAnsiTheme="majorHAnsi" w:cstheme="majorHAnsi"/>
          <w:bCs/>
          <w:sz w:val="22"/>
          <w:szCs w:val="10"/>
          <w:lang w:eastAsia="en-US"/>
        </w:rPr>
        <w:t>ESSMS PH</w:t>
      </w:r>
      <w:r w:rsidRPr="00762B41">
        <w:rPr>
          <w:rFonts w:asciiTheme="majorHAnsi" w:eastAsia="Calibri" w:hAnsiTheme="majorHAnsi" w:cstheme="majorHAnsi"/>
          <w:bCs/>
          <w:sz w:val="22"/>
          <w:szCs w:val="10"/>
          <w:lang w:eastAsia="en-US"/>
        </w:rPr>
        <w:t xml:space="preserve"> » (rayer si mention inutile) :   </w:t>
      </w:r>
      <w:r w:rsidRPr="0009217A">
        <w:rPr>
          <w:rFonts w:asciiTheme="majorHAnsi" w:eastAsia="Calibri" w:hAnsiTheme="majorHAnsi" w:cstheme="majorHAnsi"/>
          <w:sz w:val="22"/>
          <w:szCs w:val="22"/>
          <w:lang w:eastAsia="en-US"/>
        </w:rPr>
        <w:t>---------------------------------</w:t>
      </w:r>
    </w:p>
    <w:p w14:paraId="64260C5B" w14:textId="77777777" w:rsidR="00E152B2" w:rsidRPr="0009217A" w:rsidRDefault="00E152B2" w:rsidP="00762B41">
      <w:pPr>
        <w:suppressAutoHyphens/>
        <w:spacing w:after="120"/>
        <w:rPr>
          <w:rFonts w:asciiTheme="majorHAnsi" w:eastAsia="Calibri" w:hAnsiTheme="majorHAnsi" w:cstheme="majorHAnsi"/>
          <w:bCs/>
          <w:sz w:val="22"/>
          <w:szCs w:val="10"/>
          <w:lang w:eastAsia="en-US"/>
        </w:rPr>
      </w:pPr>
      <w:r w:rsidRPr="00762B41">
        <w:rPr>
          <w:rFonts w:asciiTheme="majorHAnsi" w:eastAsia="Calibri" w:hAnsiTheme="majorHAnsi" w:cstheme="majorHAnsi"/>
          <w:bCs/>
          <w:sz w:val="22"/>
          <w:szCs w:val="10"/>
          <w:lang w:eastAsia="en-US"/>
        </w:rPr>
        <w:t>Indiquer le nom du pharmacien référent si différent du pharmacien dispensateur signa</w:t>
      </w:r>
      <w:r w:rsidR="0074143F">
        <w:rPr>
          <w:rFonts w:asciiTheme="majorHAnsi" w:eastAsia="Calibri" w:hAnsiTheme="majorHAnsi" w:cstheme="majorHAnsi"/>
          <w:bCs/>
          <w:sz w:val="22"/>
          <w:szCs w:val="10"/>
          <w:lang w:eastAsia="en-US"/>
        </w:rPr>
        <w:t xml:space="preserve">taire de la présente </w:t>
      </w:r>
      <w:r w:rsidR="0074143F" w:rsidRPr="0009217A">
        <w:rPr>
          <w:rFonts w:asciiTheme="majorHAnsi" w:eastAsia="Calibri" w:hAnsiTheme="majorHAnsi" w:cstheme="majorHAnsi"/>
          <w:bCs/>
          <w:sz w:val="22"/>
          <w:szCs w:val="10"/>
          <w:lang w:eastAsia="en-US"/>
        </w:rPr>
        <w:t>convention.</w:t>
      </w:r>
    </w:p>
    <w:p w14:paraId="22B4E437" w14:textId="77777777" w:rsidR="00ED2A59" w:rsidRPr="00762B41" w:rsidRDefault="00ED2A59" w:rsidP="00762B41">
      <w:pPr>
        <w:suppressAutoHyphens/>
        <w:spacing w:after="120"/>
        <w:rPr>
          <w:rFonts w:asciiTheme="majorHAnsi" w:eastAsia="Calibri" w:hAnsiTheme="majorHAnsi" w:cstheme="majorHAnsi"/>
          <w:bCs/>
          <w:sz w:val="22"/>
          <w:szCs w:val="10"/>
          <w:lang w:eastAsia="en-US"/>
        </w:rPr>
      </w:pPr>
    </w:p>
    <w:p w14:paraId="10A3CDB4" w14:textId="77777777" w:rsidR="00ED2A59" w:rsidRPr="00762B41" w:rsidRDefault="00ED2A59" w:rsidP="00762B41">
      <w:pPr>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br w:type="page"/>
      </w:r>
    </w:p>
    <w:p w14:paraId="77171CF2" w14:textId="77777777" w:rsidR="00E152B2" w:rsidRPr="00762B41" w:rsidRDefault="00E152B2" w:rsidP="00762B41">
      <w:pPr>
        <w:suppressAutoHyphens/>
        <w:spacing w:after="120"/>
        <w:jc w:val="both"/>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t>Il est convenu ce qui suit :</w:t>
      </w:r>
    </w:p>
    <w:p w14:paraId="4CBE76B6" w14:textId="77777777" w:rsidR="00E152B2" w:rsidRPr="00762B41" w:rsidRDefault="004B63A5" w:rsidP="00762B41">
      <w:pPr>
        <w:pStyle w:val="Titre1"/>
      </w:pPr>
      <w:bookmarkStart w:id="0" w:name="_Toc160615773"/>
      <w:r w:rsidRPr="00762B41">
        <w:t xml:space="preserve">Article 1. </w:t>
      </w:r>
      <w:r w:rsidR="00E152B2" w:rsidRPr="00762B41">
        <w:t>Objet de la convention</w:t>
      </w:r>
      <w:bookmarkEnd w:id="0"/>
      <w:r w:rsidR="00E152B2" w:rsidRPr="00762B41">
        <w:t xml:space="preserve"> </w:t>
      </w:r>
    </w:p>
    <w:p w14:paraId="41DCF544" w14:textId="77777777" w:rsidR="00671E29" w:rsidRPr="00762B41" w:rsidRDefault="00671E29" w:rsidP="00762B41">
      <w:pPr>
        <w:rPr>
          <w:rFonts w:asciiTheme="majorHAnsi" w:eastAsia="Calibri" w:hAnsiTheme="majorHAnsi" w:cstheme="majorHAnsi"/>
          <w:lang w:eastAsia="en-US"/>
        </w:rPr>
      </w:pPr>
    </w:p>
    <w:p w14:paraId="54BA00AD" w14:textId="2B649BB8"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Cette convention précise les modalités de collaboration entre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et le pharmacien d’officine aux fins d’organisation de la prestation pharmaceutique dans les meilleures conditions sanitaires et techniques. </w:t>
      </w:r>
    </w:p>
    <w:p w14:paraId="7EB8D7EB" w14:textId="38744249"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Cette convention assure aux résidents (et/ou leurs représentants légaux) qui le souhaitent, et qui ont mandaté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à cette fin, l’organisation d’une prestation pharmaceutique qualifiée visant à la sécurisation de la PECM au sein de l’établissement, ainsi qu’au bon usage des médicaments. </w:t>
      </w:r>
    </w:p>
    <w:p w14:paraId="144041DE"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Cette convention constitue un acte de coopération passé dans l’intérêt des résidents. L’intérêt des parties contractantes réside dans le développement d’une relation durable, fondée sur la satisfaction en toute transparence des besoins de santé des résidents, précisés dans le projet de soin de l’établissement.</w:t>
      </w:r>
    </w:p>
    <w:p w14:paraId="002B9FEB"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convention organise ces rapports dans les limites de compétence légale des parties, dans le respect du libre choix et de la dignité du résident, ainsi que dans le respect de l’indépendance professionnelle du pharmacien.</w:t>
      </w:r>
    </w:p>
    <w:p w14:paraId="24A2ABAD"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Cette convention est conforme à la réglementation en vigueur à la date de signature. Elle est notamment conclue dans le respect :</w:t>
      </w:r>
    </w:p>
    <w:p w14:paraId="0FA0D342" w14:textId="5EB56DB9" w:rsidR="00E152B2" w:rsidRPr="0009217A"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 Du </w:t>
      </w:r>
      <w:r w:rsidR="007E0762" w:rsidRPr="0009217A">
        <w:rPr>
          <w:rFonts w:asciiTheme="majorHAnsi" w:eastAsia="Calibri" w:hAnsiTheme="majorHAnsi" w:cstheme="majorHAnsi"/>
          <w:sz w:val="22"/>
          <w:szCs w:val="22"/>
          <w:lang w:eastAsia="en-US"/>
        </w:rPr>
        <w:t xml:space="preserve">Code </w:t>
      </w:r>
      <w:r w:rsidRPr="0009217A">
        <w:rPr>
          <w:rFonts w:asciiTheme="majorHAnsi" w:eastAsia="Calibri" w:hAnsiTheme="majorHAnsi" w:cstheme="majorHAnsi"/>
          <w:sz w:val="22"/>
          <w:szCs w:val="22"/>
          <w:lang w:eastAsia="en-US"/>
        </w:rPr>
        <w:t>de la santé publique.</w:t>
      </w:r>
    </w:p>
    <w:p w14:paraId="27D550D0" w14:textId="713F48D1" w:rsidR="00E152B2" w:rsidRDefault="00E152B2" w:rsidP="00762B41">
      <w:pPr>
        <w:suppressAutoHyphens/>
        <w:spacing w:after="120"/>
        <w:jc w:val="both"/>
        <w:rPr>
          <w:rFonts w:asciiTheme="majorHAnsi" w:eastAsia="Calibri" w:hAnsiTheme="majorHAnsi" w:cstheme="majorHAnsi"/>
          <w:sz w:val="22"/>
          <w:szCs w:val="22"/>
          <w:lang w:eastAsia="en-US"/>
        </w:rPr>
      </w:pPr>
      <w:r w:rsidRPr="0009217A">
        <w:rPr>
          <w:rFonts w:asciiTheme="majorHAnsi" w:eastAsia="Calibri" w:hAnsiTheme="majorHAnsi" w:cstheme="majorHAnsi"/>
          <w:sz w:val="22"/>
          <w:szCs w:val="22"/>
          <w:lang w:eastAsia="en-US"/>
        </w:rPr>
        <w:t xml:space="preserve">- Du </w:t>
      </w:r>
      <w:r w:rsidR="007E0762" w:rsidRPr="0009217A">
        <w:rPr>
          <w:rFonts w:asciiTheme="majorHAnsi" w:eastAsia="Calibri" w:hAnsiTheme="majorHAnsi" w:cstheme="majorHAnsi"/>
          <w:sz w:val="22"/>
          <w:szCs w:val="22"/>
          <w:lang w:eastAsia="en-US"/>
        </w:rPr>
        <w:t xml:space="preserve">Code </w:t>
      </w:r>
      <w:r w:rsidRPr="0009217A">
        <w:rPr>
          <w:rFonts w:asciiTheme="majorHAnsi" w:eastAsia="Calibri" w:hAnsiTheme="majorHAnsi" w:cstheme="majorHAnsi"/>
          <w:sz w:val="22"/>
          <w:szCs w:val="22"/>
          <w:lang w:eastAsia="en-US"/>
        </w:rPr>
        <w:t xml:space="preserve">de l’action </w:t>
      </w:r>
      <w:r w:rsidRPr="00762B41">
        <w:rPr>
          <w:rFonts w:asciiTheme="majorHAnsi" w:eastAsia="Calibri" w:hAnsiTheme="majorHAnsi" w:cstheme="majorHAnsi"/>
          <w:sz w:val="22"/>
          <w:szCs w:val="22"/>
          <w:lang w:eastAsia="en-US"/>
        </w:rPr>
        <w:t>sociale et des familles (notamment des articles L. 311-3 et L. 311-4).</w:t>
      </w:r>
    </w:p>
    <w:p w14:paraId="3D89FA21" w14:textId="77777777" w:rsidR="00762B41" w:rsidRPr="00762B41" w:rsidRDefault="00762B41" w:rsidP="00762B41">
      <w:pPr>
        <w:suppressAutoHyphens/>
        <w:spacing w:after="120"/>
        <w:jc w:val="both"/>
        <w:rPr>
          <w:rFonts w:asciiTheme="majorHAnsi" w:eastAsia="Calibri" w:hAnsiTheme="majorHAnsi" w:cstheme="majorHAnsi"/>
          <w:sz w:val="22"/>
          <w:szCs w:val="22"/>
          <w:lang w:eastAsia="en-US"/>
        </w:rPr>
      </w:pPr>
    </w:p>
    <w:p w14:paraId="714D9129" w14:textId="77777777" w:rsidR="00E152B2" w:rsidRPr="00762B41" w:rsidRDefault="00E152B2" w:rsidP="00762B41">
      <w:pPr>
        <w:suppressAutoHyphens/>
        <w:spacing w:after="120"/>
        <w:jc w:val="both"/>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t>Il est préalablement rappelé que :</w:t>
      </w:r>
    </w:p>
    <w:p w14:paraId="47C6D58B" w14:textId="361658A6"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peut proposer à ses résidents une pharmacie d’officine choisie selon des critères de pertinence sanitaire, technique et économique. </w:t>
      </w:r>
    </w:p>
    <w:p w14:paraId="31FB14E2" w14:textId="45046629"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Les personnes accueillies par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conservent leur droit fondamental de libre choix de leurs professionnels de santé (art. </w:t>
      </w:r>
      <w:r w:rsidR="0009217A" w:rsidRPr="0009217A">
        <w:rPr>
          <w:rFonts w:asciiTheme="majorHAnsi" w:eastAsia="Calibri" w:hAnsiTheme="majorHAnsi" w:cstheme="majorHAnsi"/>
          <w:sz w:val="22"/>
          <w:szCs w:val="22"/>
          <w:lang w:eastAsia="en-US"/>
        </w:rPr>
        <w:t xml:space="preserve">L 5126-10 </w:t>
      </w:r>
      <w:r w:rsidRPr="00762B41">
        <w:rPr>
          <w:rFonts w:asciiTheme="majorHAnsi" w:eastAsia="Calibri" w:hAnsiTheme="majorHAnsi" w:cstheme="majorHAnsi"/>
          <w:sz w:val="22"/>
          <w:szCs w:val="22"/>
          <w:lang w:eastAsia="en-US"/>
        </w:rPr>
        <w:t xml:space="preserve">du Code de la santé publique, art. L. 162-2 du </w:t>
      </w:r>
      <w:r w:rsidR="007E0762" w:rsidRPr="0009217A">
        <w:rPr>
          <w:rFonts w:asciiTheme="majorHAnsi" w:eastAsia="Calibri" w:hAnsiTheme="majorHAnsi" w:cstheme="majorHAnsi"/>
          <w:sz w:val="22"/>
          <w:szCs w:val="22"/>
          <w:lang w:eastAsia="en-US"/>
        </w:rPr>
        <w:t>Code</w:t>
      </w:r>
      <w:r w:rsidRPr="0009217A">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de la sécurité sociale). Dans le cadre du projet personnalisé individualisé, les modalités de gestion des traitements médicamenteux sont définies. Le résident doit donner son accord quant au pharmacien avec lequel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a conventionné, et est informé en conséquence des conditions de dispensation et d’approvisionnement des médicaments en vigueur (cf</w:t>
      </w:r>
      <w:r w:rsidR="00ED2A59" w:rsidRPr="00762B41">
        <w:rPr>
          <w:rFonts w:asciiTheme="majorHAnsi" w:eastAsia="Calibri" w:hAnsiTheme="majorHAnsi" w:cstheme="majorHAnsi"/>
          <w:sz w:val="22"/>
          <w:szCs w:val="22"/>
          <w:lang w:eastAsia="en-US"/>
        </w:rPr>
        <w:t>.</w:t>
      </w:r>
      <w:r w:rsidRPr="00762B41">
        <w:rPr>
          <w:rFonts w:asciiTheme="majorHAnsi" w:eastAsia="Calibri" w:hAnsiTheme="majorHAnsi" w:cstheme="majorHAnsi"/>
          <w:sz w:val="22"/>
          <w:szCs w:val="22"/>
          <w:lang w:eastAsia="en-US"/>
        </w:rPr>
        <w:t xml:space="preserve"> Annexe).</w:t>
      </w:r>
    </w:p>
    <w:p w14:paraId="085CDE59" w14:textId="77777777" w:rsidR="00E152B2" w:rsidRPr="00762B41" w:rsidRDefault="00E152B2" w:rsidP="00762B41">
      <w:pPr>
        <w:rPr>
          <w:rFonts w:asciiTheme="majorHAnsi" w:hAnsiTheme="majorHAnsi" w:cstheme="majorHAnsi"/>
        </w:rPr>
      </w:pPr>
    </w:p>
    <w:p w14:paraId="6DCAB14E" w14:textId="77777777" w:rsidR="00E152B2" w:rsidRPr="00762B41" w:rsidRDefault="004B63A5" w:rsidP="00762B41">
      <w:pPr>
        <w:pStyle w:val="Titre1"/>
      </w:pPr>
      <w:bookmarkStart w:id="1" w:name="_Toc160615774"/>
      <w:r w:rsidRPr="00762B41">
        <w:t xml:space="preserve">Article 2. </w:t>
      </w:r>
      <w:r w:rsidR="00E152B2" w:rsidRPr="00762B41">
        <w:t>Déontologie</w:t>
      </w:r>
      <w:bookmarkEnd w:id="1"/>
    </w:p>
    <w:p w14:paraId="1400E74A" w14:textId="77777777" w:rsidR="00E152B2" w:rsidRPr="00762B41" w:rsidRDefault="00E152B2" w:rsidP="00762B41">
      <w:pPr>
        <w:rPr>
          <w:rFonts w:asciiTheme="majorHAnsi" w:hAnsiTheme="majorHAnsi" w:cstheme="majorHAnsi"/>
        </w:rPr>
      </w:pPr>
    </w:p>
    <w:p w14:paraId="32156671" w14:textId="6E83CC28" w:rsidR="00E152B2" w:rsidRPr="00762B41" w:rsidRDefault="00E152B2"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ce que le pharmacien puisse accomplir sa mission et préserver la liberté de son jugement professionnel dans l’exercice de ses fonctions pharmaceutiques.</w:t>
      </w:r>
    </w:p>
    <w:p w14:paraId="7A07C6DB" w14:textId="77777777" w:rsidR="00E152B2" w:rsidRPr="00762B41" w:rsidRDefault="00E152B2" w:rsidP="00762B41">
      <w:pPr>
        <w:pStyle w:val="Titre1"/>
        <w:rPr>
          <w:rFonts w:eastAsia="Calibri" w:cstheme="majorHAnsi"/>
          <w:color w:val="auto"/>
          <w:lang w:eastAsia="en-US"/>
        </w:rPr>
      </w:pPr>
    </w:p>
    <w:p w14:paraId="1764AD2E" w14:textId="77777777" w:rsidR="00E152B2" w:rsidRDefault="004B63A5" w:rsidP="00762B41">
      <w:pPr>
        <w:pStyle w:val="Titre1"/>
      </w:pPr>
      <w:bookmarkStart w:id="2" w:name="_Toc160615775"/>
      <w:r w:rsidRPr="00762B41">
        <w:t xml:space="preserve">Article 3. </w:t>
      </w:r>
      <w:r w:rsidR="00E152B2" w:rsidRPr="00762B41">
        <w:t>Transmission des informations concernant les résidents</w:t>
      </w:r>
      <w:bookmarkEnd w:id="2"/>
    </w:p>
    <w:p w14:paraId="0C548DAA" w14:textId="77777777" w:rsidR="00762B41" w:rsidRPr="00762B41" w:rsidRDefault="00762B41" w:rsidP="00762B41"/>
    <w:p w14:paraId="22CB5EF8" w14:textId="77777777" w:rsidR="00664B4B" w:rsidRPr="00762B41" w:rsidRDefault="00664B4B" w:rsidP="00762B41">
      <w:pPr>
        <w:pStyle w:val="Titre2"/>
        <w:rPr>
          <w:rFonts w:cstheme="majorHAnsi"/>
          <w:b/>
          <w:color w:val="auto"/>
        </w:rPr>
      </w:pPr>
      <w:bookmarkStart w:id="3" w:name="_Toc160615776"/>
      <w:r w:rsidRPr="00762B41">
        <w:rPr>
          <w:rFonts w:cstheme="majorHAnsi"/>
          <w:b/>
          <w:color w:val="auto"/>
        </w:rPr>
        <w:t>Nature des informations</w:t>
      </w:r>
      <w:bookmarkEnd w:id="3"/>
      <w:r w:rsidRPr="00762B41">
        <w:rPr>
          <w:rFonts w:cstheme="majorHAnsi"/>
          <w:b/>
          <w:color w:val="auto"/>
        </w:rPr>
        <w:t xml:space="preserve"> </w:t>
      </w:r>
    </w:p>
    <w:p w14:paraId="6F070A03" w14:textId="1BD9F245" w:rsidR="00E152B2" w:rsidRPr="00762B41" w:rsidRDefault="00E152B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fournir à la pharmacie les données nécessaires à la qualité de la dispensation pharmaceutique :</w:t>
      </w:r>
    </w:p>
    <w:p w14:paraId="7C17FE96" w14:textId="2382002D" w:rsidR="00E152B2" w:rsidRPr="00710FE3" w:rsidRDefault="00E152B2" w:rsidP="00762B41">
      <w:pPr>
        <w:pStyle w:val="Paragraphedeliste"/>
        <w:numPr>
          <w:ilvl w:val="0"/>
          <w:numId w:val="10"/>
        </w:numPr>
        <w:suppressAutoHyphens/>
        <w:rPr>
          <w:rFonts w:asciiTheme="majorHAnsi" w:hAnsiTheme="majorHAnsi" w:cstheme="majorHAnsi"/>
          <w:color w:val="auto"/>
          <w:sz w:val="22"/>
          <w:lang w:eastAsia="en-US"/>
        </w:rPr>
      </w:pPr>
      <w:r w:rsidRPr="00762B41">
        <w:rPr>
          <w:rFonts w:asciiTheme="majorHAnsi" w:hAnsiTheme="majorHAnsi" w:cstheme="majorHAnsi"/>
          <w:sz w:val="22"/>
          <w:lang w:eastAsia="en-US"/>
        </w:rPr>
        <w:t>Identification, âge, sexe, lieu de vie, coordonnées des proches, attestations administratives</w:t>
      </w:r>
      <w:r w:rsidR="007E0762" w:rsidRPr="00710FE3">
        <w:rPr>
          <w:rFonts w:asciiTheme="majorHAnsi" w:hAnsiTheme="majorHAnsi" w:cstheme="majorHAnsi"/>
          <w:color w:val="auto"/>
          <w:sz w:val="22"/>
          <w:lang w:eastAsia="en-US"/>
        </w:rPr>
        <w:t>;</w:t>
      </w:r>
    </w:p>
    <w:p w14:paraId="3F8EB71B" w14:textId="650D603D" w:rsidR="00E152B2" w:rsidRPr="00762B41" w:rsidRDefault="00E152B2" w:rsidP="00762B41">
      <w:pPr>
        <w:pStyle w:val="Paragraphedeliste"/>
        <w:numPr>
          <w:ilvl w:val="0"/>
          <w:numId w:val="10"/>
        </w:numPr>
        <w:suppressAutoHyphens/>
        <w:rPr>
          <w:rFonts w:asciiTheme="majorHAnsi" w:hAnsiTheme="majorHAnsi" w:cstheme="majorHAnsi"/>
          <w:sz w:val="22"/>
          <w:lang w:eastAsia="en-US"/>
        </w:rPr>
      </w:pPr>
      <w:r w:rsidRPr="00762B41">
        <w:rPr>
          <w:rFonts w:asciiTheme="majorHAnsi" w:hAnsiTheme="majorHAnsi" w:cstheme="majorHAnsi"/>
          <w:sz w:val="22"/>
          <w:lang w:eastAsia="en-US"/>
        </w:rPr>
        <w:t>Données utiles du résident (historique des délivrances, données biométriques, biologiques, hypersensibilités, et</w:t>
      </w:r>
      <w:r w:rsidRPr="0009217A">
        <w:rPr>
          <w:rFonts w:asciiTheme="majorHAnsi" w:hAnsiTheme="majorHAnsi" w:cstheme="majorHAnsi"/>
          <w:color w:val="auto"/>
          <w:sz w:val="22"/>
          <w:lang w:eastAsia="en-US"/>
        </w:rPr>
        <w:t>c.)</w:t>
      </w:r>
      <w:r w:rsidR="007E0762" w:rsidRPr="0009217A">
        <w:rPr>
          <w:rFonts w:asciiTheme="majorHAnsi" w:hAnsiTheme="majorHAnsi" w:cstheme="majorHAnsi"/>
          <w:color w:val="auto"/>
          <w:sz w:val="22"/>
          <w:lang w:eastAsia="en-US"/>
        </w:rPr>
        <w:t>.</w:t>
      </w:r>
    </w:p>
    <w:p w14:paraId="61134EF6"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p>
    <w:p w14:paraId="3CC9307F" w14:textId="3858B801"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s’engage, dans la limite des informations transmises, à tenir à jour le Dossier Pharmaceutique et le Dossier Médical Partagé du résident</w:t>
      </w:r>
      <w:r w:rsidR="00F26A9D">
        <w:rPr>
          <w:rFonts w:asciiTheme="majorHAnsi" w:eastAsia="Calibri" w:hAnsiTheme="majorHAnsi" w:cstheme="majorHAnsi"/>
          <w:sz w:val="22"/>
          <w:szCs w:val="22"/>
          <w:lang w:eastAsia="en-US"/>
        </w:rPr>
        <w:t xml:space="preserve"> pour un usage dans </w:t>
      </w:r>
      <w:r w:rsidR="00F26A9D" w:rsidRPr="00F26A9D">
        <w:rPr>
          <w:rFonts w:asciiTheme="majorHAnsi" w:eastAsia="Calibri" w:hAnsiTheme="majorHAnsi" w:cstheme="majorHAnsi"/>
          <w:sz w:val="22"/>
          <w:szCs w:val="22"/>
          <w:lang w:eastAsia="en-US"/>
        </w:rPr>
        <w:t>Mon espace santé.</w:t>
      </w:r>
    </w:p>
    <w:p w14:paraId="0D565F04" w14:textId="0EB60FBC"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transmettre les prescriptions nominatives originales au pharmacien, selon un mode de transmission garantissant la confidentialité des données du résident (messagerie sécurisée, dépôt de l’ordonnance originale, système d’information commun…</w:t>
      </w:r>
      <w:r w:rsidR="00D7501E">
        <w:rPr>
          <w:rFonts w:asciiTheme="majorHAnsi" w:eastAsia="Calibri" w:hAnsiTheme="majorHAnsi" w:cstheme="majorHAnsi"/>
          <w:sz w:val="22"/>
          <w:szCs w:val="22"/>
          <w:lang w:eastAsia="en-US"/>
        </w:rPr>
        <w:t>à définir précisément dans la section ci-dessous « modalités d’échange d’informations »</w:t>
      </w:r>
      <w:r w:rsidRPr="00762B41">
        <w:rPr>
          <w:rFonts w:asciiTheme="majorHAnsi" w:eastAsia="Calibri" w:hAnsiTheme="majorHAnsi" w:cstheme="majorHAnsi"/>
          <w:sz w:val="22"/>
          <w:szCs w:val="22"/>
          <w:lang w:eastAsia="en-US"/>
        </w:rPr>
        <w:t xml:space="preserve">) dans le respect des devoirs et obligations déontologiques qui incombent tant aux médecins qu’aux pharmaciens (CSP). </w:t>
      </w:r>
    </w:p>
    <w:p w14:paraId="4587DEFD" w14:textId="3ADF64B0"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faciliter les échanges entre le médecin coordonnateur de la structure, le personnel soignant et le pharmacien par la mise à disposition d’un outil de liaison (outil numérique ou cahier</w:t>
      </w:r>
      <w:r w:rsidR="00D7501E" w:rsidRPr="00D7501E">
        <w:t xml:space="preserve"> </w:t>
      </w:r>
      <w:r w:rsidR="00D7501E" w:rsidRPr="00D7501E">
        <w:rPr>
          <w:rFonts w:asciiTheme="majorHAnsi" w:eastAsia="Calibri" w:hAnsiTheme="majorHAnsi" w:cstheme="majorHAnsi"/>
          <w:sz w:val="22"/>
          <w:szCs w:val="22"/>
          <w:lang w:eastAsia="en-US"/>
        </w:rPr>
        <w:t>à définir précisément dans la section ci-dessous « modalités d’échange d’informations »</w:t>
      </w:r>
      <w:r w:rsidRPr="00762B41">
        <w:rPr>
          <w:rFonts w:asciiTheme="majorHAnsi" w:eastAsia="Calibri" w:hAnsiTheme="majorHAnsi" w:cstheme="majorHAnsi"/>
          <w:sz w:val="22"/>
          <w:szCs w:val="22"/>
          <w:lang w:eastAsia="en-US"/>
        </w:rPr>
        <w:t>) recueillant de façon pérenne et formalisée toutes les informations jugées pertinentes pour sécuriser la PECM du résident (par exemple : observations relatives aux traitements médicamenteux des résidents …).</w:t>
      </w:r>
    </w:p>
    <w:p w14:paraId="08827524"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Si plusieurs prescriptions ont été réalisées par des médecins de spécialités différentes pour un même résident, il convient de centraliser ces dernières via un système d’information (et ses interfaces) partagé et/ou par l’intermédiaire du médecin coordonnateur de la structure. </w:t>
      </w:r>
    </w:p>
    <w:p w14:paraId="0FD4A8C4" w14:textId="14E6196D" w:rsidR="00E152B2" w:rsidRPr="00762B41" w:rsidRDefault="00710FE3" w:rsidP="00762B41">
      <w:pPr>
        <w:pStyle w:val="Titre2"/>
        <w:rPr>
          <w:rFonts w:cstheme="majorHAnsi"/>
          <w:b/>
          <w:color w:val="auto"/>
        </w:rPr>
      </w:pPr>
      <w:bookmarkStart w:id="4" w:name="_Toc160615777"/>
      <w:r>
        <w:rPr>
          <w:rFonts w:cstheme="majorHAnsi"/>
          <w:b/>
          <w:color w:val="auto"/>
        </w:rPr>
        <w:t>Modalités d’échanges d</w:t>
      </w:r>
      <w:r w:rsidR="00E152B2" w:rsidRPr="00762B41">
        <w:rPr>
          <w:rFonts w:cstheme="majorHAnsi"/>
          <w:b/>
          <w:color w:val="auto"/>
        </w:rPr>
        <w:t>’information</w:t>
      </w:r>
      <w:bookmarkEnd w:id="4"/>
    </w:p>
    <w:p w14:paraId="01E6EB2D"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12D8C48A" w14:textId="1AD25830"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jc w:val="both"/>
        <w:rPr>
          <w:rFonts w:asciiTheme="majorHAnsi" w:eastAsia="Calibri" w:hAnsiTheme="majorHAnsi" w:cstheme="majorHAnsi"/>
          <w:b/>
          <w:i/>
          <w:sz w:val="22"/>
          <w:szCs w:val="22"/>
          <w:lang w:eastAsia="en-US"/>
        </w:rPr>
      </w:pPr>
      <w:r w:rsidRPr="00762B41">
        <w:rPr>
          <w:rFonts w:asciiTheme="majorHAnsi" w:eastAsia="Calibri" w:hAnsiTheme="majorHAnsi" w:cstheme="majorHAnsi"/>
          <w:b/>
          <w:i/>
          <w:sz w:val="22"/>
          <w:szCs w:val="22"/>
          <w:lang w:eastAsia="en-US"/>
        </w:rPr>
        <w:t xml:space="preserve">Précisez : </w:t>
      </w:r>
    </w:p>
    <w:p w14:paraId="20F8958A" w14:textId="75F8E5B7" w:rsidR="00E152B2"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 les modalités de transmission convenues : </w:t>
      </w:r>
    </w:p>
    <w:p w14:paraId="6891A2B3" w14:textId="3F9FDEF6" w:rsidR="00FE1A50" w:rsidRPr="00A00494" w:rsidRDefault="00FE1A50"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color w:val="000000" w:themeColor="text1"/>
          <w:sz w:val="22"/>
          <w:szCs w:val="22"/>
          <w:lang w:eastAsia="en-US"/>
        </w:rPr>
      </w:pPr>
      <w:r w:rsidRPr="00A00494">
        <w:rPr>
          <w:rFonts w:asciiTheme="majorHAnsi" w:eastAsia="Calibri" w:hAnsiTheme="majorHAnsi" w:cstheme="majorHAnsi"/>
          <w:i/>
          <w:color w:val="000000" w:themeColor="text1"/>
          <w:sz w:val="22"/>
          <w:szCs w:val="22"/>
          <w:lang w:eastAsia="en-US"/>
        </w:rPr>
        <w:t>1-</w:t>
      </w:r>
      <w:r w:rsidR="00A00494">
        <w:rPr>
          <w:rFonts w:asciiTheme="majorHAnsi" w:eastAsia="Calibri" w:hAnsiTheme="majorHAnsi" w:cstheme="majorHAnsi"/>
          <w:i/>
          <w:color w:val="000000" w:themeColor="text1"/>
          <w:sz w:val="22"/>
          <w:szCs w:val="22"/>
          <w:lang w:eastAsia="en-US"/>
        </w:rPr>
        <w:t xml:space="preserve"> </w:t>
      </w:r>
      <w:r w:rsidRPr="00A00494">
        <w:rPr>
          <w:rFonts w:asciiTheme="majorHAnsi" w:eastAsia="Calibri" w:hAnsiTheme="majorHAnsi" w:cstheme="majorHAnsi"/>
          <w:i/>
          <w:color w:val="000000" w:themeColor="text1"/>
          <w:sz w:val="22"/>
          <w:szCs w:val="22"/>
          <w:lang w:eastAsia="en-US"/>
        </w:rPr>
        <w:t xml:space="preserve">En cas </w:t>
      </w:r>
      <w:r w:rsidR="00A00494">
        <w:rPr>
          <w:rFonts w:asciiTheme="majorHAnsi" w:eastAsia="Calibri" w:hAnsiTheme="majorHAnsi" w:cstheme="majorHAnsi"/>
          <w:i/>
          <w:color w:val="000000" w:themeColor="text1"/>
          <w:sz w:val="22"/>
          <w:szCs w:val="22"/>
          <w:lang w:eastAsia="en-US"/>
        </w:rPr>
        <w:t>d’</w:t>
      </w:r>
      <w:r w:rsidRPr="00A00494">
        <w:rPr>
          <w:rFonts w:asciiTheme="majorHAnsi" w:eastAsia="Calibri" w:hAnsiTheme="majorHAnsi" w:cstheme="majorHAnsi"/>
          <w:i/>
          <w:color w:val="000000" w:themeColor="text1"/>
          <w:sz w:val="22"/>
          <w:szCs w:val="22"/>
          <w:lang w:eastAsia="en-US"/>
        </w:rPr>
        <w:t xml:space="preserve">absence de transmission informatique : décrire en détail les modalités d’échanges d’informations, notamment pour les </w:t>
      </w:r>
      <w:r w:rsidR="00297010" w:rsidRPr="00A00494">
        <w:rPr>
          <w:rFonts w:asciiTheme="majorHAnsi" w:eastAsia="Calibri" w:hAnsiTheme="majorHAnsi" w:cstheme="majorHAnsi"/>
          <w:i/>
          <w:color w:val="000000" w:themeColor="text1"/>
          <w:sz w:val="22"/>
          <w:szCs w:val="22"/>
          <w:lang w:eastAsia="en-US"/>
        </w:rPr>
        <w:t>informations concernant les patients et la transmission des ordonnances</w:t>
      </w:r>
    </w:p>
    <w:p w14:paraId="486556CB" w14:textId="6F6CE526" w:rsidR="00FE1A50" w:rsidRPr="00A00494" w:rsidRDefault="00FE1A50"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color w:val="000000" w:themeColor="text1"/>
          <w:sz w:val="22"/>
          <w:szCs w:val="22"/>
          <w:lang w:eastAsia="en-US"/>
        </w:rPr>
      </w:pPr>
      <w:r w:rsidRPr="00A00494">
        <w:rPr>
          <w:rFonts w:asciiTheme="majorHAnsi" w:eastAsia="Calibri" w:hAnsiTheme="majorHAnsi" w:cstheme="majorHAnsi"/>
          <w:i/>
          <w:color w:val="000000" w:themeColor="text1"/>
          <w:sz w:val="22"/>
          <w:szCs w:val="22"/>
          <w:lang w:eastAsia="en-US"/>
        </w:rPr>
        <w:t>2- En cas de transmission informatique</w:t>
      </w:r>
      <w:r w:rsidR="00A00494">
        <w:rPr>
          <w:rFonts w:asciiTheme="majorHAnsi" w:eastAsia="Calibri" w:hAnsiTheme="majorHAnsi" w:cstheme="majorHAnsi"/>
          <w:i/>
          <w:color w:val="000000" w:themeColor="text1"/>
          <w:sz w:val="22"/>
          <w:szCs w:val="22"/>
          <w:lang w:eastAsia="en-US"/>
        </w:rPr>
        <w:t> :</w:t>
      </w:r>
    </w:p>
    <w:p w14:paraId="7B8D8A79" w14:textId="401E7E28" w:rsidR="00E152B2" w:rsidRPr="00762B41" w:rsidRDefault="00FE1A50"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Pr>
          <w:rFonts w:asciiTheme="majorHAnsi" w:eastAsia="Calibri" w:hAnsiTheme="majorHAnsi" w:cstheme="majorHAnsi"/>
          <w:i/>
          <w:sz w:val="22"/>
          <w:szCs w:val="22"/>
          <w:lang w:eastAsia="en-US"/>
        </w:rPr>
        <w:t>-</w:t>
      </w:r>
      <w:r w:rsidR="00A00494">
        <w:rPr>
          <w:rFonts w:asciiTheme="majorHAnsi" w:eastAsia="Calibri" w:hAnsiTheme="majorHAnsi" w:cstheme="majorHAnsi"/>
          <w:i/>
          <w:sz w:val="22"/>
          <w:szCs w:val="22"/>
          <w:lang w:eastAsia="en-US"/>
        </w:rPr>
        <w:t xml:space="preserve"> </w:t>
      </w:r>
      <w:r w:rsidR="00E152B2" w:rsidRPr="00762B41">
        <w:rPr>
          <w:rFonts w:asciiTheme="majorHAnsi" w:eastAsia="Calibri" w:hAnsiTheme="majorHAnsi" w:cstheme="majorHAnsi"/>
          <w:i/>
          <w:sz w:val="22"/>
          <w:szCs w:val="22"/>
          <w:lang w:eastAsia="en-US"/>
        </w:rPr>
        <w:t>le format de l’outil de liaison retenu</w:t>
      </w:r>
      <w:r w:rsidR="00710FE3">
        <w:rPr>
          <w:rFonts w:asciiTheme="majorHAnsi" w:eastAsia="Calibri" w:hAnsiTheme="majorHAnsi" w:cstheme="majorHAnsi"/>
          <w:i/>
          <w:sz w:val="22"/>
          <w:szCs w:val="22"/>
          <w:lang w:eastAsia="en-US"/>
        </w:rPr>
        <w:t xml:space="preserve"> </w:t>
      </w:r>
      <w:r w:rsidR="00710FE3" w:rsidRPr="00762B41">
        <w:rPr>
          <w:rFonts w:asciiTheme="majorHAnsi" w:eastAsia="Calibri" w:hAnsiTheme="majorHAnsi" w:cstheme="majorHAnsi"/>
          <w:b/>
          <w:i/>
          <w:sz w:val="22"/>
          <w:szCs w:val="22"/>
          <w:lang w:eastAsia="en-US"/>
        </w:rPr>
        <w:t xml:space="preserve">(logiciels version et éditeur pour </w:t>
      </w:r>
      <w:r w:rsidR="00D7501E" w:rsidRPr="00D7501E">
        <w:rPr>
          <w:rFonts w:asciiTheme="majorHAnsi" w:eastAsia="Calibri" w:hAnsiTheme="majorHAnsi" w:cstheme="majorHAnsi"/>
          <w:b/>
          <w:i/>
          <w:sz w:val="22"/>
          <w:szCs w:val="22"/>
          <w:lang w:eastAsia="en-US"/>
        </w:rPr>
        <w:t xml:space="preserve">logiciel d’aide à prescription (LAP) </w:t>
      </w:r>
      <w:r w:rsidR="00D7501E">
        <w:rPr>
          <w:rFonts w:asciiTheme="majorHAnsi" w:eastAsia="Calibri" w:hAnsiTheme="majorHAnsi" w:cstheme="majorHAnsi"/>
          <w:b/>
          <w:i/>
          <w:sz w:val="22"/>
          <w:szCs w:val="22"/>
          <w:lang w:eastAsia="en-US"/>
        </w:rPr>
        <w:t xml:space="preserve">et </w:t>
      </w:r>
      <w:r w:rsidR="00D7501E" w:rsidRPr="00D7501E">
        <w:rPr>
          <w:rFonts w:asciiTheme="majorHAnsi" w:eastAsia="Calibri" w:hAnsiTheme="majorHAnsi" w:cstheme="majorHAnsi"/>
          <w:b/>
          <w:i/>
          <w:sz w:val="22"/>
          <w:szCs w:val="22"/>
          <w:lang w:eastAsia="en-US"/>
        </w:rPr>
        <w:t xml:space="preserve">logiciel d’aide à la dispensation (LAD) de </w:t>
      </w:r>
      <w:proofErr w:type="gramStart"/>
      <w:r w:rsidR="00D7501E" w:rsidRPr="00D7501E">
        <w:rPr>
          <w:rFonts w:asciiTheme="majorHAnsi" w:eastAsia="Calibri" w:hAnsiTheme="majorHAnsi" w:cstheme="majorHAnsi"/>
          <w:b/>
          <w:i/>
          <w:sz w:val="22"/>
          <w:szCs w:val="22"/>
          <w:lang w:eastAsia="en-US"/>
        </w:rPr>
        <w:t>l’officine</w:t>
      </w:r>
      <w:r w:rsidR="00D7501E" w:rsidRPr="00D7501E" w:rsidDel="00D7501E">
        <w:rPr>
          <w:rFonts w:asciiTheme="majorHAnsi" w:eastAsia="Calibri" w:hAnsiTheme="majorHAnsi" w:cstheme="majorHAnsi"/>
          <w:b/>
          <w:i/>
          <w:sz w:val="22"/>
          <w:szCs w:val="22"/>
          <w:lang w:eastAsia="en-US"/>
        </w:rPr>
        <w:t xml:space="preserve"> </w:t>
      </w:r>
      <w:r w:rsidR="00D7501E">
        <w:rPr>
          <w:rFonts w:asciiTheme="majorHAnsi" w:eastAsia="Calibri" w:hAnsiTheme="majorHAnsi" w:cstheme="majorHAnsi"/>
          <w:b/>
          <w:i/>
          <w:sz w:val="22"/>
          <w:szCs w:val="22"/>
          <w:lang w:eastAsia="en-US"/>
        </w:rPr>
        <w:t xml:space="preserve"> et</w:t>
      </w:r>
      <w:proofErr w:type="gramEnd"/>
      <w:r w:rsidR="00D7501E">
        <w:rPr>
          <w:rFonts w:asciiTheme="majorHAnsi" w:eastAsia="Calibri" w:hAnsiTheme="majorHAnsi" w:cstheme="majorHAnsi"/>
          <w:b/>
          <w:i/>
          <w:sz w:val="22"/>
          <w:szCs w:val="22"/>
          <w:lang w:eastAsia="en-US"/>
        </w:rPr>
        <w:t xml:space="preserve"> existence ou non d’</w:t>
      </w:r>
      <w:r w:rsidR="00710FE3" w:rsidRPr="00762B41">
        <w:rPr>
          <w:rFonts w:asciiTheme="majorHAnsi" w:eastAsia="Calibri" w:hAnsiTheme="majorHAnsi" w:cstheme="majorHAnsi"/>
          <w:b/>
          <w:i/>
          <w:sz w:val="22"/>
          <w:szCs w:val="22"/>
          <w:lang w:eastAsia="en-US"/>
        </w:rPr>
        <w:t>interfaces</w:t>
      </w:r>
      <w:r w:rsidR="00D7501E">
        <w:rPr>
          <w:rFonts w:asciiTheme="majorHAnsi" w:eastAsia="Calibri" w:hAnsiTheme="majorHAnsi" w:cstheme="majorHAnsi"/>
          <w:b/>
          <w:i/>
          <w:sz w:val="22"/>
          <w:szCs w:val="22"/>
          <w:lang w:eastAsia="en-US"/>
        </w:rPr>
        <w:t xml:space="preserve"> entre le LAP et le LAD</w:t>
      </w:r>
      <w:r w:rsidR="00710FE3" w:rsidRPr="00762B41">
        <w:rPr>
          <w:rFonts w:asciiTheme="majorHAnsi" w:eastAsia="Calibri" w:hAnsiTheme="majorHAnsi" w:cstheme="majorHAnsi"/>
          <w:b/>
          <w:i/>
          <w:sz w:val="22"/>
          <w:szCs w:val="22"/>
          <w:lang w:eastAsia="en-US"/>
        </w:rPr>
        <w:t>)</w:t>
      </w:r>
      <w:r w:rsidR="00E152B2" w:rsidRPr="00762B41">
        <w:rPr>
          <w:rFonts w:asciiTheme="majorHAnsi" w:eastAsia="Calibri" w:hAnsiTheme="majorHAnsi" w:cstheme="majorHAnsi"/>
          <w:i/>
          <w:sz w:val="22"/>
          <w:szCs w:val="22"/>
          <w:lang w:eastAsia="en-US"/>
        </w:rPr>
        <w:t xml:space="preserve"> : </w:t>
      </w:r>
    </w:p>
    <w:p w14:paraId="0AA2B3F5" w14:textId="12DE8552" w:rsidR="00AF6B98" w:rsidRPr="00762B41" w:rsidRDefault="00D7501E"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Pr>
          <w:rFonts w:asciiTheme="majorHAnsi" w:eastAsia="Calibri" w:hAnsiTheme="majorHAnsi" w:cstheme="majorHAnsi"/>
          <w:i/>
          <w:sz w:val="22"/>
          <w:szCs w:val="22"/>
          <w:lang w:eastAsia="en-US"/>
        </w:rPr>
        <w:t xml:space="preserve">Note : </w:t>
      </w:r>
      <w:r w:rsidR="00AF6B98" w:rsidRPr="00762B41">
        <w:rPr>
          <w:rFonts w:asciiTheme="majorHAnsi" w:eastAsia="Calibri" w:hAnsiTheme="majorHAnsi" w:cstheme="majorHAnsi"/>
          <w:i/>
          <w:sz w:val="22"/>
          <w:szCs w:val="22"/>
          <w:lang w:eastAsia="en-US"/>
        </w:rPr>
        <w:t>Le pharmacien ne peut fournir ou financer d’outil à l’</w:t>
      </w:r>
      <w:r w:rsidR="00887929">
        <w:rPr>
          <w:rFonts w:asciiTheme="majorHAnsi" w:eastAsia="Calibri" w:hAnsiTheme="majorHAnsi" w:cstheme="majorHAnsi"/>
          <w:i/>
          <w:sz w:val="22"/>
          <w:szCs w:val="22"/>
          <w:lang w:eastAsia="en-US"/>
        </w:rPr>
        <w:t>ESSMS PH</w:t>
      </w:r>
      <w:r w:rsidR="00AF6B98" w:rsidRPr="00762B41">
        <w:rPr>
          <w:rFonts w:asciiTheme="majorHAnsi" w:eastAsia="Calibri" w:hAnsiTheme="majorHAnsi" w:cstheme="majorHAnsi"/>
          <w:i/>
          <w:sz w:val="22"/>
          <w:szCs w:val="22"/>
          <w:lang w:eastAsia="en-US"/>
        </w:rPr>
        <w:t xml:space="preserve"> en terme</w:t>
      </w:r>
      <w:r w:rsidR="001D16FD">
        <w:rPr>
          <w:rFonts w:asciiTheme="majorHAnsi" w:eastAsia="Calibri" w:hAnsiTheme="majorHAnsi" w:cstheme="majorHAnsi"/>
          <w:i/>
          <w:sz w:val="22"/>
          <w:szCs w:val="22"/>
          <w:lang w:eastAsia="en-US"/>
        </w:rPr>
        <w:t>s</w:t>
      </w:r>
      <w:r w:rsidR="00AF6B98" w:rsidRPr="00762B41">
        <w:rPr>
          <w:rFonts w:asciiTheme="majorHAnsi" w:eastAsia="Calibri" w:hAnsiTheme="majorHAnsi" w:cstheme="majorHAnsi"/>
          <w:i/>
          <w:sz w:val="22"/>
          <w:szCs w:val="22"/>
          <w:lang w:eastAsia="en-US"/>
        </w:rPr>
        <w:t xml:space="preserve"> d’indépendance </w:t>
      </w:r>
      <w:r w:rsidR="002A67A7" w:rsidRPr="00762B41">
        <w:rPr>
          <w:rFonts w:asciiTheme="majorHAnsi" w:eastAsia="Calibri" w:hAnsiTheme="majorHAnsi" w:cstheme="majorHAnsi"/>
          <w:i/>
          <w:sz w:val="22"/>
          <w:szCs w:val="22"/>
          <w:lang w:eastAsia="en-US"/>
        </w:rPr>
        <w:t xml:space="preserve">(ex : chariot, tablette </w:t>
      </w:r>
      <w:r w:rsidR="009B25A4" w:rsidRPr="00762B41">
        <w:rPr>
          <w:rFonts w:asciiTheme="majorHAnsi" w:eastAsia="Calibri" w:hAnsiTheme="majorHAnsi" w:cstheme="majorHAnsi"/>
          <w:i/>
          <w:sz w:val="22"/>
          <w:szCs w:val="22"/>
          <w:lang w:eastAsia="en-US"/>
        </w:rPr>
        <w:t>…</w:t>
      </w:r>
      <w:r w:rsidR="002A67A7" w:rsidRPr="00762B41">
        <w:rPr>
          <w:rFonts w:asciiTheme="majorHAnsi" w:eastAsia="Calibri" w:hAnsiTheme="majorHAnsi" w:cstheme="majorHAnsi"/>
          <w:i/>
          <w:sz w:val="22"/>
          <w:szCs w:val="22"/>
          <w:lang w:eastAsia="en-US"/>
        </w:rPr>
        <w:t>)</w:t>
      </w:r>
    </w:p>
    <w:p w14:paraId="1EDE6DD0" w14:textId="49A031CD" w:rsidR="00AF6B98" w:rsidRPr="00762B41" w:rsidRDefault="00AF6B98"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Le pharmacien n’est pas tenu d’utiliser les outils </w:t>
      </w:r>
      <w:r w:rsidR="00887929">
        <w:rPr>
          <w:rFonts w:asciiTheme="majorHAnsi" w:eastAsia="Calibri" w:hAnsiTheme="majorHAnsi" w:cstheme="majorHAnsi"/>
          <w:i/>
          <w:sz w:val="22"/>
          <w:szCs w:val="22"/>
          <w:lang w:eastAsia="en-US"/>
        </w:rPr>
        <w:t>ESSMS PH</w:t>
      </w:r>
      <w:r w:rsidRPr="00762B41">
        <w:rPr>
          <w:rFonts w:asciiTheme="majorHAnsi" w:eastAsia="Calibri" w:hAnsiTheme="majorHAnsi" w:cstheme="majorHAnsi"/>
          <w:i/>
          <w:sz w:val="22"/>
          <w:szCs w:val="22"/>
          <w:lang w:eastAsia="en-US"/>
        </w:rPr>
        <w:t xml:space="preserve"> : à définir entre </w:t>
      </w:r>
      <w:r w:rsidR="00887929">
        <w:rPr>
          <w:rFonts w:asciiTheme="majorHAnsi" w:eastAsia="Calibri" w:hAnsiTheme="majorHAnsi" w:cstheme="majorHAnsi"/>
          <w:i/>
          <w:sz w:val="22"/>
          <w:szCs w:val="22"/>
          <w:lang w:eastAsia="en-US"/>
        </w:rPr>
        <w:t>ESSMS PH</w:t>
      </w:r>
      <w:r w:rsidRPr="00762B41">
        <w:rPr>
          <w:rFonts w:asciiTheme="majorHAnsi" w:eastAsia="Calibri" w:hAnsiTheme="majorHAnsi" w:cstheme="majorHAnsi"/>
          <w:i/>
          <w:sz w:val="22"/>
          <w:szCs w:val="22"/>
          <w:lang w:eastAsia="en-US"/>
        </w:rPr>
        <w:t xml:space="preserve"> et officine </w:t>
      </w:r>
    </w:p>
    <w:p w14:paraId="65935BAC"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p>
    <w:p w14:paraId="6130B684" w14:textId="77777777" w:rsidR="00BA6902" w:rsidRPr="00762B41" w:rsidRDefault="004B63A5" w:rsidP="00762B41">
      <w:pPr>
        <w:pStyle w:val="Titre1"/>
      </w:pPr>
      <w:bookmarkStart w:id="5" w:name="_Toc160615778"/>
      <w:r w:rsidRPr="00762B41">
        <w:t xml:space="preserve">Article 4. </w:t>
      </w:r>
      <w:r w:rsidR="00BA6902" w:rsidRPr="00762B41">
        <w:t>Continuité de la prestation pharmaceutique</w:t>
      </w:r>
      <w:bookmarkEnd w:id="5"/>
    </w:p>
    <w:p w14:paraId="24D6C869" w14:textId="77777777" w:rsidR="009B25A4" w:rsidRPr="00762B41" w:rsidRDefault="009B25A4" w:rsidP="00762B41">
      <w:pPr>
        <w:rPr>
          <w:rFonts w:asciiTheme="majorHAnsi" w:eastAsia="Calibri" w:hAnsiTheme="majorHAnsi" w:cstheme="majorHAnsi"/>
          <w:lang w:eastAsia="en-US"/>
        </w:rPr>
      </w:pPr>
    </w:p>
    <w:p w14:paraId="5ED3318B" w14:textId="77777777" w:rsidR="00BA6902" w:rsidRPr="00762B41" w:rsidRDefault="00BA6902" w:rsidP="00762B41">
      <w:pPr>
        <w:pStyle w:val="Titre2"/>
        <w:rPr>
          <w:rFonts w:eastAsia="Calibri" w:cstheme="majorHAnsi"/>
          <w:b/>
          <w:color w:val="auto"/>
          <w:lang w:eastAsia="en-US"/>
        </w:rPr>
      </w:pPr>
      <w:r w:rsidRPr="00762B41">
        <w:rPr>
          <w:rFonts w:eastAsia="Calibri" w:cstheme="majorHAnsi"/>
          <w:b/>
          <w:color w:val="auto"/>
          <w:lang w:eastAsia="en-US"/>
        </w:rPr>
        <w:t xml:space="preserve"> </w:t>
      </w:r>
      <w:bookmarkStart w:id="6" w:name="_Toc160615779"/>
      <w:r w:rsidRPr="00762B41">
        <w:rPr>
          <w:rFonts w:eastAsia="Calibri" w:cstheme="majorHAnsi"/>
          <w:b/>
          <w:color w:val="auto"/>
          <w:lang w:eastAsia="en-US"/>
        </w:rPr>
        <w:t>Dotation pour les urgences vitales et dotation pour soins prescrits en urgence</w:t>
      </w:r>
      <w:bookmarkEnd w:id="6"/>
    </w:p>
    <w:p w14:paraId="672093AF" w14:textId="66A76337" w:rsidR="00BA6902" w:rsidRPr="00762B41" w:rsidRDefault="00BA690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En dehors des traitements nominatifs en cours des résidents,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peut détenir une dotation de médicaments ou matériel dans les cas particuliers suivants :</w:t>
      </w:r>
    </w:p>
    <w:p w14:paraId="67CE99E2" w14:textId="77777777" w:rsidR="00BA6902" w:rsidRPr="00762B41" w:rsidRDefault="00BA6902" w:rsidP="00762B41">
      <w:pPr>
        <w:pStyle w:val="Paragraphedeliste"/>
        <w:numPr>
          <w:ilvl w:val="0"/>
          <w:numId w:val="11"/>
        </w:numPr>
        <w:suppressAutoHyphens/>
        <w:rPr>
          <w:rFonts w:asciiTheme="majorHAnsi" w:hAnsiTheme="majorHAnsi" w:cstheme="majorHAnsi"/>
          <w:sz w:val="22"/>
          <w:lang w:eastAsia="en-US"/>
        </w:rPr>
      </w:pPr>
      <w:r w:rsidRPr="00762B41">
        <w:rPr>
          <w:rFonts w:asciiTheme="majorHAnsi" w:hAnsiTheme="majorHAnsi" w:cstheme="majorHAnsi"/>
          <w:sz w:val="22"/>
          <w:lang w:eastAsia="en-US"/>
        </w:rPr>
        <w:t>Dotation pour les urgences vitales ;</w:t>
      </w:r>
    </w:p>
    <w:p w14:paraId="7BF24FDC" w14:textId="77777777" w:rsidR="00BA6902" w:rsidRPr="00762B41" w:rsidRDefault="00BA6902" w:rsidP="00762B41">
      <w:pPr>
        <w:pStyle w:val="Paragraphedeliste"/>
        <w:numPr>
          <w:ilvl w:val="0"/>
          <w:numId w:val="11"/>
        </w:numPr>
        <w:suppressAutoHyphens/>
        <w:rPr>
          <w:rFonts w:asciiTheme="majorHAnsi" w:hAnsiTheme="majorHAnsi" w:cstheme="majorHAnsi"/>
          <w:sz w:val="22"/>
          <w:lang w:eastAsia="en-US"/>
        </w:rPr>
      </w:pPr>
      <w:r w:rsidRPr="00762B41">
        <w:rPr>
          <w:rFonts w:asciiTheme="majorHAnsi" w:hAnsiTheme="majorHAnsi" w:cstheme="majorHAnsi"/>
          <w:sz w:val="22"/>
          <w:lang w:eastAsia="en-US"/>
        </w:rPr>
        <w:t>Dotation pour soins prescrits en urgence (article R5126-108 du Code de santé publique) souvent appelée dotation pour besoins urgents.</w:t>
      </w:r>
    </w:p>
    <w:p w14:paraId="19EEA62E" w14:textId="77777777" w:rsidR="00BA6902" w:rsidRPr="00762B41" w:rsidRDefault="00BA6902" w:rsidP="00762B41">
      <w:pPr>
        <w:suppressAutoHyphens/>
        <w:jc w:val="both"/>
        <w:rPr>
          <w:rFonts w:asciiTheme="majorHAnsi" w:eastAsia="Calibri" w:hAnsiTheme="majorHAnsi" w:cstheme="majorHAnsi"/>
          <w:sz w:val="22"/>
          <w:szCs w:val="22"/>
          <w:lang w:eastAsia="en-US"/>
        </w:rPr>
      </w:pPr>
    </w:p>
    <w:p w14:paraId="736A04E8" w14:textId="59BC3F63"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solliciter le pharmacien pour élaborer en coopération avec le médecin coordonnateur de la structure la liste de la dotation pour les urgences vitales ainsi que celle relative à la dotation pour soins prescrits en urgence (article R5126-108 du Code de santé publique)</w:t>
      </w:r>
    </w:p>
    <w:p w14:paraId="454B1C16" w14:textId="5BDC98C8"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assure, un contrôle périodique qualitatif et quantitatif des dotations (pour urgences vitales et pour la dotation pour soins prescrits en urgence), ainsi que la surveillance des dates de péremption et de la conservation des médicaments détenus par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w:t>
      </w:r>
    </w:p>
    <w:p w14:paraId="6D814FBB" w14:textId="16AD38E5"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Recommandation : ces missions peuvent être réalisées par l’intermédiaire du « référent médicament »</w:t>
      </w:r>
      <w:r w:rsidR="00AF6B98" w:rsidRPr="00762B41">
        <w:rPr>
          <w:rFonts w:asciiTheme="majorHAnsi" w:eastAsia="Calibri" w:hAnsiTheme="majorHAnsi" w:cstheme="majorHAnsi"/>
          <w:sz w:val="22"/>
          <w:szCs w:val="22"/>
          <w:lang w:eastAsia="en-US"/>
        </w:rPr>
        <w:t xml:space="preserve"> dont les missions peuvent être définis dans une</w:t>
      </w:r>
      <w:r w:rsidRPr="00762B41">
        <w:rPr>
          <w:rFonts w:asciiTheme="majorHAnsi" w:eastAsia="Calibri" w:hAnsiTheme="majorHAnsi" w:cstheme="majorHAnsi"/>
          <w:sz w:val="22"/>
          <w:szCs w:val="22"/>
          <w:lang w:eastAsia="en-US"/>
        </w:rPr>
        <w:t xml:space="preserve"> fiche de fonction</w:t>
      </w:r>
      <w:r w:rsidR="00AF6B98" w:rsidRPr="00762B41">
        <w:rPr>
          <w:rFonts w:asciiTheme="majorHAnsi" w:eastAsia="Calibri" w:hAnsiTheme="majorHAnsi" w:cstheme="majorHAnsi"/>
          <w:sz w:val="22"/>
          <w:szCs w:val="22"/>
          <w:lang w:eastAsia="en-US"/>
        </w:rPr>
        <w:t xml:space="preserve"> (selon le modèle régional de </w:t>
      </w:r>
      <w:r w:rsidR="00E06390">
        <w:rPr>
          <w:rFonts w:asciiTheme="majorHAnsi" w:eastAsia="Calibri" w:hAnsiTheme="majorHAnsi" w:cstheme="majorHAnsi"/>
          <w:sz w:val="22"/>
          <w:szCs w:val="22"/>
          <w:lang w:eastAsia="en-US"/>
        </w:rPr>
        <w:t xml:space="preserve">l’OMéDIT </w:t>
      </w:r>
      <w:r w:rsidR="00AF6B98" w:rsidRPr="00762B41">
        <w:rPr>
          <w:rFonts w:asciiTheme="majorHAnsi" w:eastAsia="Calibri" w:hAnsiTheme="majorHAnsi" w:cstheme="majorHAnsi"/>
          <w:sz w:val="22"/>
          <w:szCs w:val="22"/>
          <w:lang w:eastAsia="en-US"/>
        </w:rPr>
        <w:t>Normandi</w:t>
      </w:r>
      <w:r w:rsidR="00AF6B98" w:rsidRPr="0009217A">
        <w:rPr>
          <w:rFonts w:asciiTheme="majorHAnsi" w:eastAsia="Calibri" w:hAnsiTheme="majorHAnsi" w:cstheme="majorHAnsi"/>
          <w:sz w:val="22"/>
          <w:szCs w:val="22"/>
          <w:lang w:eastAsia="en-US"/>
        </w:rPr>
        <w:t>e)</w:t>
      </w:r>
      <w:r w:rsidR="007E0762" w:rsidRPr="0009217A">
        <w:rPr>
          <w:rFonts w:asciiTheme="majorHAnsi" w:eastAsia="Calibri" w:hAnsiTheme="majorHAnsi" w:cstheme="majorHAnsi"/>
          <w:sz w:val="22"/>
          <w:szCs w:val="22"/>
          <w:lang w:eastAsia="en-US"/>
        </w:rPr>
        <w:t>.</w:t>
      </w:r>
    </w:p>
    <w:p w14:paraId="14DCADAD"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70FF7952" w14:textId="77777777" w:rsidR="00BA6902" w:rsidRPr="00762B41" w:rsidRDefault="00BA6902" w:rsidP="00762B41">
      <w:pPr>
        <w:pStyle w:val="Titre2"/>
        <w:rPr>
          <w:rFonts w:eastAsia="Calibri" w:cstheme="majorHAnsi"/>
          <w:b/>
          <w:color w:val="auto"/>
          <w:lang w:eastAsia="en-US"/>
        </w:rPr>
      </w:pPr>
      <w:bookmarkStart w:id="7" w:name="_Toc160615780"/>
      <w:r w:rsidRPr="00762B41">
        <w:rPr>
          <w:rFonts w:eastAsia="Calibri" w:cstheme="majorHAnsi"/>
          <w:b/>
          <w:color w:val="auto"/>
          <w:lang w:eastAsia="en-US"/>
        </w:rPr>
        <w:t>Continuité de la dispensation</w:t>
      </w:r>
      <w:bookmarkEnd w:id="7"/>
    </w:p>
    <w:p w14:paraId="13DE36D4"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L’officine s’engage à assurer la continuité de la prestation comme suit :</w:t>
      </w:r>
    </w:p>
    <w:p w14:paraId="4EEA1631" w14:textId="3C656506" w:rsidR="00BA6902" w:rsidRPr="00762B41" w:rsidRDefault="00BA6902" w:rsidP="00762B41">
      <w:pPr>
        <w:suppressAutoHyphens/>
        <w:spacing w:after="120"/>
        <w:jc w:val="both"/>
        <w:rPr>
          <w:rFonts w:asciiTheme="majorHAnsi" w:eastAsia="Calibri" w:hAnsiTheme="majorHAnsi" w:cstheme="majorHAnsi"/>
          <w:sz w:val="22"/>
          <w:szCs w:val="22"/>
          <w:lang w:eastAsia="en-US"/>
        </w:rPr>
      </w:pPr>
      <w:bookmarkStart w:id="8" w:name="_Toc160615781"/>
      <w:r w:rsidRPr="00762B41">
        <w:rPr>
          <w:rStyle w:val="Titre3Car"/>
          <w:rFonts w:asciiTheme="majorHAnsi" w:hAnsiTheme="majorHAnsi" w:cstheme="majorHAnsi"/>
          <w:b/>
          <w:color w:val="auto"/>
          <w:sz w:val="22"/>
          <w:szCs w:val="22"/>
          <w:lang w:eastAsia="en-US"/>
        </w:rPr>
        <w:t>Renouvellement de traitement (sans urgence)</w:t>
      </w:r>
      <w:bookmarkEnd w:id="8"/>
      <w:r w:rsidRPr="00762B41">
        <w:rPr>
          <w:rFonts w:asciiTheme="majorHAnsi" w:eastAsia="Calibri" w:hAnsiTheme="majorHAnsi" w:cstheme="majorHAnsi"/>
          <w:b/>
          <w:sz w:val="22"/>
          <w:szCs w:val="22"/>
          <w:lang w:eastAsia="en-US"/>
        </w:rPr>
        <w:t xml:space="preserve"> :</w:t>
      </w:r>
      <w:r w:rsidRPr="00762B41">
        <w:rPr>
          <w:rFonts w:asciiTheme="majorHAnsi" w:eastAsia="Calibri" w:hAnsiTheme="majorHAnsi" w:cstheme="majorHAnsi"/>
          <w:sz w:val="22"/>
          <w:szCs w:val="22"/>
          <w:lang w:eastAsia="en-US"/>
        </w:rPr>
        <w:t xml:space="preserve"> la livraison est effectuée au plus tard dans la journée qui précède la fin du traitement continu. Les ordonnances de renouvellement, le cas échéant, sont transmises 8 jours</w:t>
      </w:r>
      <w:r w:rsidR="00671E29" w:rsidRPr="00762B41">
        <w:rPr>
          <w:rStyle w:val="Appelnotedebasdep"/>
          <w:rFonts w:asciiTheme="majorHAnsi" w:eastAsia="Calibri" w:hAnsiTheme="majorHAnsi" w:cstheme="majorHAnsi"/>
          <w:sz w:val="22"/>
          <w:szCs w:val="22"/>
          <w:lang w:eastAsia="en-US"/>
        </w:rPr>
        <w:footnoteReference w:id="2"/>
      </w:r>
      <w:r w:rsidR="00D75461" w:rsidRPr="00762B41">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avant la fin du traitement continu, à jour fixe arrêté (jour à préciser) par le pharmacien et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w:t>
      </w:r>
    </w:p>
    <w:p w14:paraId="056231F7"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bookmarkStart w:id="9" w:name="_Toc160615782"/>
      <w:r w:rsidRPr="00762B41">
        <w:rPr>
          <w:rStyle w:val="Titre3Car"/>
          <w:rFonts w:asciiTheme="majorHAnsi" w:hAnsiTheme="majorHAnsi" w:cstheme="majorHAnsi"/>
          <w:b/>
          <w:color w:val="auto"/>
          <w:sz w:val="22"/>
          <w:szCs w:val="22"/>
          <w:lang w:eastAsia="en-US"/>
        </w:rPr>
        <w:t>Traitement destiné à un « nouveau » résident, traitement intercurrent, modification de traitement</w:t>
      </w:r>
      <w:bookmarkEnd w:id="9"/>
      <w:r w:rsidRPr="00762B41">
        <w:rPr>
          <w:rFonts w:asciiTheme="majorHAnsi" w:eastAsia="Calibri" w:hAnsiTheme="majorHAnsi" w:cstheme="majorHAnsi"/>
          <w:b/>
          <w:sz w:val="22"/>
          <w:szCs w:val="22"/>
          <w:lang w:eastAsia="en-US"/>
        </w:rPr>
        <w:t xml:space="preserve"> :</w:t>
      </w:r>
      <w:r w:rsidRPr="00762B41">
        <w:rPr>
          <w:rFonts w:asciiTheme="majorHAnsi" w:eastAsia="Calibri" w:hAnsiTheme="majorHAnsi" w:cstheme="majorHAnsi"/>
          <w:sz w:val="22"/>
          <w:szCs w:val="22"/>
          <w:lang w:eastAsia="en-US"/>
        </w:rPr>
        <w:t xml:space="preserve"> la livraison est effectuée dans la journée pour toute ordonnance transmise avant 14h du lundi au vendredi</w:t>
      </w:r>
      <w:r w:rsidR="00FF71DD" w:rsidRPr="00762B41">
        <w:rPr>
          <w:rFonts w:asciiTheme="majorHAnsi" w:eastAsia="Calibri" w:hAnsiTheme="majorHAnsi" w:cstheme="majorHAnsi"/>
          <w:sz w:val="22"/>
          <w:szCs w:val="22"/>
          <w:vertAlign w:val="superscript"/>
          <w:lang w:eastAsia="en-US"/>
        </w:rPr>
        <w:t>2</w:t>
      </w:r>
      <w:r w:rsidRPr="00762B41">
        <w:rPr>
          <w:rFonts w:asciiTheme="majorHAnsi" w:eastAsia="Calibri" w:hAnsiTheme="majorHAnsi" w:cstheme="majorHAnsi"/>
          <w:sz w:val="22"/>
          <w:szCs w:val="22"/>
          <w:lang w:eastAsia="en-US"/>
        </w:rPr>
        <w:t>.</w:t>
      </w:r>
    </w:p>
    <w:p w14:paraId="5BCB5F5A" w14:textId="16E69D22" w:rsidR="00710FE3" w:rsidRDefault="00BA6902" w:rsidP="00710FE3">
      <w:pPr>
        <w:suppressAutoHyphens/>
        <w:spacing w:after="120"/>
        <w:jc w:val="both"/>
        <w:rPr>
          <w:rFonts w:asciiTheme="majorHAnsi" w:eastAsia="Calibri" w:hAnsiTheme="majorHAnsi" w:cstheme="majorHAnsi"/>
          <w:sz w:val="22"/>
          <w:szCs w:val="22"/>
          <w:lang w:eastAsia="en-US"/>
        </w:rPr>
      </w:pPr>
      <w:bookmarkStart w:id="10" w:name="_Toc160615783"/>
      <w:r w:rsidRPr="00762B41">
        <w:rPr>
          <w:rStyle w:val="Titre3Car"/>
          <w:rFonts w:asciiTheme="majorHAnsi" w:hAnsiTheme="majorHAnsi" w:cstheme="majorHAnsi"/>
          <w:b/>
          <w:color w:val="auto"/>
          <w:sz w:val="22"/>
          <w:szCs w:val="22"/>
          <w:lang w:eastAsia="en-US"/>
        </w:rPr>
        <w:t>Traitement aigu, en urgence</w:t>
      </w:r>
      <w:bookmarkEnd w:id="10"/>
      <w:r w:rsidRPr="00762B41">
        <w:rPr>
          <w:rStyle w:val="Titre3Car"/>
          <w:rFonts w:asciiTheme="majorHAnsi" w:hAnsiTheme="majorHAnsi" w:cstheme="majorHAnsi"/>
          <w:b/>
          <w:color w:val="auto"/>
          <w:sz w:val="22"/>
          <w:szCs w:val="22"/>
          <w:lang w:eastAsia="en-US"/>
        </w:rPr>
        <w:t xml:space="preserve"> </w:t>
      </w:r>
      <w:r w:rsidRPr="00762B41">
        <w:rPr>
          <w:rFonts w:asciiTheme="majorHAnsi" w:eastAsia="Calibri" w:hAnsiTheme="majorHAnsi" w:cstheme="majorHAnsi"/>
          <w:b/>
          <w:sz w:val="22"/>
          <w:szCs w:val="22"/>
          <w:lang w:eastAsia="en-US"/>
        </w:rPr>
        <w:t>:</w:t>
      </w:r>
      <w:r w:rsidRPr="00762B41">
        <w:rPr>
          <w:rFonts w:asciiTheme="majorHAnsi" w:eastAsia="Calibri" w:hAnsiTheme="majorHAnsi" w:cstheme="majorHAnsi"/>
          <w:sz w:val="22"/>
          <w:szCs w:val="22"/>
          <w:lang w:eastAsia="en-US"/>
        </w:rPr>
        <w:t xml:space="preserve"> la livraison a lieu dans les meilleurs délais suivant la transmission de l’ordonnance du résident si les médicaments prescrits ne se trouvent pas dans la dotation pour soins prescrits en urgence (article R5126-108 du Code de santé publique) dans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w:t>
      </w:r>
    </w:p>
    <w:p w14:paraId="26FADB40" w14:textId="7CBF8E84" w:rsidR="005B3A9D" w:rsidRPr="00710FE3" w:rsidRDefault="005B3A9D" w:rsidP="00710FE3">
      <w:pPr>
        <w:pStyle w:val="Paragraphedeliste"/>
        <w:numPr>
          <w:ilvl w:val="0"/>
          <w:numId w:val="21"/>
        </w:numPr>
        <w:suppressAutoHyphens/>
        <w:spacing w:after="120"/>
        <w:rPr>
          <w:rFonts w:asciiTheme="majorHAnsi" w:hAnsiTheme="majorHAnsi" w:cstheme="majorHAnsi"/>
          <w:sz w:val="22"/>
          <w:lang w:eastAsia="en-US"/>
        </w:rPr>
      </w:pPr>
      <w:r w:rsidRPr="00710FE3">
        <w:rPr>
          <w:rFonts w:asciiTheme="majorHAnsi" w:hAnsiTheme="majorHAnsi" w:cstheme="majorHAnsi"/>
          <w:sz w:val="22"/>
          <w:lang w:eastAsia="en-US"/>
        </w:rPr>
        <w:t>Le degré d’urgence doit être précisé lors de la transmission de l’ordonnance pour adapter le délai de livraison.</w:t>
      </w:r>
    </w:p>
    <w:p w14:paraId="00BA0018" w14:textId="2940CD34" w:rsidR="00BA6902"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Remarque : </w:t>
      </w:r>
      <w:r w:rsidR="00D7501E" w:rsidRPr="00D7501E">
        <w:rPr>
          <w:rFonts w:asciiTheme="majorHAnsi" w:eastAsia="Calibri" w:hAnsiTheme="majorHAnsi" w:cstheme="majorHAnsi"/>
          <w:sz w:val="22"/>
          <w:szCs w:val="22"/>
          <w:lang w:eastAsia="en-US"/>
        </w:rPr>
        <w:t xml:space="preserve">l’ESSMS </w:t>
      </w:r>
      <w:r w:rsidR="00E06390" w:rsidRPr="00D7501E">
        <w:rPr>
          <w:rFonts w:asciiTheme="majorHAnsi" w:eastAsia="Calibri" w:hAnsiTheme="majorHAnsi" w:cstheme="majorHAnsi"/>
          <w:sz w:val="22"/>
          <w:szCs w:val="22"/>
          <w:lang w:eastAsia="en-US"/>
        </w:rPr>
        <w:t xml:space="preserve">PH </w:t>
      </w:r>
      <w:r w:rsidR="00E06390">
        <w:rPr>
          <w:rFonts w:asciiTheme="majorHAnsi" w:eastAsia="Calibri" w:hAnsiTheme="majorHAnsi" w:cstheme="majorHAnsi"/>
          <w:sz w:val="22"/>
          <w:szCs w:val="22"/>
          <w:lang w:eastAsia="en-US"/>
        </w:rPr>
        <w:t>doit</w:t>
      </w:r>
      <w:r w:rsidR="00D7501E">
        <w:rPr>
          <w:rFonts w:asciiTheme="majorHAnsi" w:eastAsia="Calibri" w:hAnsiTheme="majorHAnsi" w:cstheme="majorHAnsi"/>
          <w:sz w:val="22"/>
          <w:szCs w:val="22"/>
          <w:lang w:eastAsia="en-US"/>
        </w:rPr>
        <w:t xml:space="preserve"> mettre </w:t>
      </w:r>
      <w:r w:rsidRPr="00762B41">
        <w:rPr>
          <w:rFonts w:asciiTheme="majorHAnsi" w:eastAsia="Calibri" w:hAnsiTheme="majorHAnsi" w:cstheme="majorHAnsi"/>
          <w:sz w:val="22"/>
          <w:szCs w:val="22"/>
          <w:lang w:eastAsia="en-US"/>
        </w:rPr>
        <w:t>la liste des médicaments de la dotation pour soins prescrits en urgence mise à disposition des médecins traitants pour qu’ils puissent prescrire dans la mesure du possible les traitements identifiés disponibles au sein de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w:t>
      </w:r>
    </w:p>
    <w:p w14:paraId="7540BF70" w14:textId="7EDDF3BA" w:rsidR="007A149C" w:rsidRDefault="007A149C" w:rsidP="00762B41">
      <w:pPr>
        <w:suppressAutoHyphens/>
        <w:spacing w:after="120"/>
        <w:jc w:val="both"/>
        <w:rPr>
          <w:rFonts w:asciiTheme="majorHAnsi" w:eastAsia="Calibri" w:hAnsiTheme="majorHAnsi" w:cstheme="majorHAnsi"/>
          <w:sz w:val="22"/>
          <w:szCs w:val="22"/>
          <w:lang w:eastAsia="en-US"/>
        </w:rPr>
      </w:pPr>
    </w:p>
    <w:p w14:paraId="7AA24406" w14:textId="34569530" w:rsidR="00BA6902" w:rsidRDefault="007A149C" w:rsidP="00762B41">
      <w:pPr>
        <w:suppressAutoHyphens/>
        <w:spacing w:after="120"/>
        <w:jc w:val="both"/>
        <w:rPr>
          <w:rFonts w:asciiTheme="majorHAnsi" w:eastAsia="Calibri" w:hAnsiTheme="majorHAnsi" w:cstheme="majorHAnsi"/>
          <w:sz w:val="22"/>
          <w:szCs w:val="22"/>
          <w:lang w:eastAsia="en-US"/>
        </w:rPr>
      </w:pPr>
      <w:r w:rsidRPr="00155B3C">
        <w:rPr>
          <w:rFonts w:asciiTheme="majorHAnsi" w:eastAsia="Calibri" w:hAnsiTheme="majorHAnsi" w:cstheme="majorHAnsi"/>
          <w:b/>
          <w:sz w:val="22"/>
          <w:szCs w:val="22"/>
          <w:lang w:eastAsia="en-US"/>
        </w:rPr>
        <w:t>Modifications des traitements en cours déjà préparés ou l’ajout d’un nouveau traitement</w:t>
      </w:r>
      <w:r w:rsidR="001D16FD">
        <w:rPr>
          <w:rFonts w:asciiTheme="majorHAnsi" w:eastAsia="Calibri" w:hAnsiTheme="majorHAnsi" w:cstheme="majorHAnsi"/>
          <w:b/>
          <w:sz w:val="22"/>
          <w:szCs w:val="22"/>
          <w:lang w:eastAsia="en-US"/>
        </w:rPr>
        <w:t xml:space="preserve">. </w:t>
      </w:r>
      <w:r w:rsidR="00BA6902" w:rsidRPr="00762B41">
        <w:rPr>
          <w:rFonts w:asciiTheme="majorHAnsi" w:eastAsia="Calibri" w:hAnsiTheme="majorHAnsi" w:cstheme="majorHAnsi"/>
          <w:sz w:val="22"/>
          <w:szCs w:val="22"/>
          <w:lang w:eastAsia="en-US"/>
        </w:rPr>
        <w:t xml:space="preserve">Les modalités </w:t>
      </w:r>
      <w:r w:rsidR="00D75461" w:rsidRPr="00762B41">
        <w:rPr>
          <w:rFonts w:asciiTheme="majorHAnsi" w:eastAsia="Calibri" w:hAnsiTheme="majorHAnsi" w:cstheme="majorHAnsi"/>
          <w:sz w:val="22"/>
          <w:szCs w:val="22"/>
          <w:lang w:eastAsia="en-US"/>
        </w:rPr>
        <w:t xml:space="preserve">de </w:t>
      </w:r>
      <w:r w:rsidR="00BA6902" w:rsidRPr="00762B41">
        <w:rPr>
          <w:rFonts w:asciiTheme="majorHAnsi" w:eastAsia="Calibri" w:hAnsiTheme="majorHAnsi" w:cstheme="majorHAnsi"/>
          <w:sz w:val="22"/>
          <w:szCs w:val="22"/>
          <w:lang w:eastAsia="en-US"/>
        </w:rPr>
        <w:t xml:space="preserve">modifications des traitements en cours déjà préparés ou l’ajout d’un nouveau </w:t>
      </w:r>
      <w:r w:rsidR="00D63B3F" w:rsidRPr="00762B41">
        <w:rPr>
          <w:rFonts w:asciiTheme="majorHAnsi" w:eastAsia="Calibri" w:hAnsiTheme="majorHAnsi" w:cstheme="majorHAnsi"/>
          <w:sz w:val="22"/>
          <w:szCs w:val="22"/>
          <w:lang w:eastAsia="en-US"/>
        </w:rPr>
        <w:t>traitement sont</w:t>
      </w:r>
      <w:r w:rsidR="00BA6902" w:rsidRPr="00762B41">
        <w:rPr>
          <w:rFonts w:asciiTheme="majorHAnsi" w:eastAsia="Calibri" w:hAnsiTheme="majorHAnsi" w:cstheme="majorHAnsi"/>
          <w:sz w:val="22"/>
          <w:szCs w:val="22"/>
          <w:lang w:eastAsia="en-US"/>
        </w:rPr>
        <w:t xml:space="preserve"> à définir entre </w:t>
      </w:r>
      <w:r w:rsidR="00887929">
        <w:rPr>
          <w:rFonts w:asciiTheme="majorHAnsi" w:eastAsia="Calibri" w:hAnsiTheme="majorHAnsi" w:cstheme="majorHAnsi"/>
          <w:sz w:val="22"/>
          <w:szCs w:val="22"/>
          <w:lang w:eastAsia="en-US"/>
        </w:rPr>
        <w:t>ESSMS PH</w:t>
      </w:r>
      <w:r w:rsidR="00BA6902" w:rsidRPr="00762B41">
        <w:rPr>
          <w:rFonts w:asciiTheme="majorHAnsi" w:eastAsia="Calibri" w:hAnsiTheme="majorHAnsi" w:cstheme="majorHAnsi"/>
          <w:sz w:val="22"/>
          <w:szCs w:val="22"/>
          <w:lang w:eastAsia="en-US"/>
        </w:rPr>
        <w:t xml:space="preserve"> et officine :</w:t>
      </w:r>
    </w:p>
    <w:p w14:paraId="2749E395" w14:textId="17332911" w:rsidR="007A149C" w:rsidRDefault="007A149C" w:rsidP="00762B41">
      <w:pPr>
        <w:suppressAutoHyphens/>
        <w:spacing w:after="120"/>
        <w:jc w:val="both"/>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t>Comment est modifié le traitement en cas de PDA : (à préciser barrer les mentions inutiles et ajouter d’autres modalités si nécessaires)</w:t>
      </w:r>
    </w:p>
    <w:p w14:paraId="5A404FBE" w14:textId="78A6211C" w:rsidR="007A149C" w:rsidRPr="00155B3C" w:rsidRDefault="007A149C" w:rsidP="00155B3C">
      <w:pPr>
        <w:pStyle w:val="Paragraphedeliste"/>
        <w:numPr>
          <w:ilvl w:val="0"/>
          <w:numId w:val="22"/>
        </w:numPr>
        <w:suppressAutoHyphens/>
        <w:spacing w:after="120"/>
        <w:rPr>
          <w:rFonts w:asciiTheme="majorHAnsi" w:hAnsiTheme="majorHAnsi" w:cstheme="majorHAnsi"/>
          <w:sz w:val="22"/>
          <w:lang w:eastAsia="en-US"/>
        </w:rPr>
      </w:pPr>
      <w:proofErr w:type="gramStart"/>
      <w:r w:rsidRPr="00155B3C">
        <w:rPr>
          <w:rFonts w:asciiTheme="majorHAnsi" w:hAnsiTheme="majorHAnsi" w:cstheme="majorHAnsi"/>
          <w:sz w:val="22"/>
          <w:lang w:eastAsia="en-US"/>
        </w:rPr>
        <w:t>l’officine</w:t>
      </w:r>
      <w:proofErr w:type="gramEnd"/>
      <w:r w:rsidRPr="00155B3C">
        <w:rPr>
          <w:rFonts w:asciiTheme="majorHAnsi" w:hAnsiTheme="majorHAnsi" w:cstheme="majorHAnsi"/>
          <w:sz w:val="22"/>
          <w:lang w:eastAsia="en-US"/>
        </w:rPr>
        <w:t xml:space="preserve"> livre la boite de médicament et l’infirmière modifie le pilulier dans l’établissement ?</w:t>
      </w:r>
    </w:p>
    <w:p w14:paraId="0DD3ACB9" w14:textId="6B20C2A5" w:rsidR="007A149C" w:rsidRPr="00155B3C" w:rsidRDefault="007A149C" w:rsidP="00155B3C">
      <w:pPr>
        <w:pStyle w:val="Paragraphedeliste"/>
        <w:numPr>
          <w:ilvl w:val="0"/>
          <w:numId w:val="22"/>
        </w:numPr>
        <w:suppressAutoHyphens/>
        <w:spacing w:after="120"/>
        <w:rPr>
          <w:rFonts w:asciiTheme="majorHAnsi" w:hAnsiTheme="majorHAnsi" w:cstheme="majorHAnsi"/>
          <w:sz w:val="22"/>
          <w:lang w:eastAsia="en-US"/>
        </w:rPr>
      </w:pPr>
      <w:proofErr w:type="gramStart"/>
      <w:r w:rsidRPr="00155B3C">
        <w:rPr>
          <w:rFonts w:asciiTheme="majorHAnsi" w:hAnsiTheme="majorHAnsi" w:cstheme="majorHAnsi"/>
          <w:sz w:val="22"/>
          <w:lang w:eastAsia="en-US"/>
        </w:rPr>
        <w:t>l’officine</w:t>
      </w:r>
      <w:proofErr w:type="gramEnd"/>
      <w:r w:rsidRPr="00155B3C">
        <w:rPr>
          <w:rFonts w:asciiTheme="majorHAnsi" w:hAnsiTheme="majorHAnsi" w:cstheme="majorHAnsi"/>
          <w:sz w:val="22"/>
          <w:lang w:eastAsia="en-US"/>
        </w:rPr>
        <w:t xml:space="preserve"> refait </w:t>
      </w:r>
      <w:r w:rsidR="00D86CA0" w:rsidRPr="00155B3C">
        <w:rPr>
          <w:rFonts w:asciiTheme="majorHAnsi" w:hAnsiTheme="majorHAnsi" w:cstheme="majorHAnsi"/>
          <w:sz w:val="22"/>
          <w:lang w:eastAsia="en-US"/>
        </w:rPr>
        <w:t>le</w:t>
      </w:r>
      <w:r w:rsidRPr="00155B3C">
        <w:rPr>
          <w:rFonts w:asciiTheme="majorHAnsi" w:hAnsiTheme="majorHAnsi" w:cstheme="majorHAnsi"/>
          <w:sz w:val="22"/>
          <w:lang w:eastAsia="en-US"/>
        </w:rPr>
        <w:t xml:space="preserve"> pilulier pour le restant de la </w:t>
      </w:r>
      <w:r w:rsidR="001D16FD" w:rsidRPr="00155B3C">
        <w:rPr>
          <w:rFonts w:asciiTheme="majorHAnsi" w:hAnsiTheme="majorHAnsi" w:cstheme="majorHAnsi"/>
          <w:sz w:val="22"/>
          <w:lang w:eastAsia="en-US"/>
        </w:rPr>
        <w:t>semaine et</w:t>
      </w:r>
      <w:r w:rsidR="00D86CA0" w:rsidRPr="00155B3C">
        <w:rPr>
          <w:rFonts w:asciiTheme="majorHAnsi" w:hAnsiTheme="majorHAnsi" w:cstheme="majorHAnsi"/>
          <w:sz w:val="22"/>
          <w:lang w:eastAsia="en-US"/>
        </w:rPr>
        <w:t xml:space="preserve"> le livre à l’établissement, puis l’IDE remplace le pilulier obsolète par le nouveau pilulier</w:t>
      </w:r>
      <w:r w:rsidRPr="00155B3C">
        <w:rPr>
          <w:rFonts w:asciiTheme="majorHAnsi" w:hAnsiTheme="majorHAnsi" w:cstheme="majorHAnsi"/>
          <w:sz w:val="22"/>
          <w:lang w:eastAsia="en-US"/>
        </w:rPr>
        <w:t>?</w:t>
      </w:r>
    </w:p>
    <w:p w14:paraId="7C7C6F0E" w14:textId="62D81592" w:rsidR="00D86CA0" w:rsidRPr="00155B3C" w:rsidRDefault="00D86CA0" w:rsidP="00155B3C">
      <w:pPr>
        <w:pStyle w:val="Paragraphedeliste"/>
        <w:numPr>
          <w:ilvl w:val="0"/>
          <w:numId w:val="22"/>
        </w:numPr>
        <w:suppressAutoHyphens/>
        <w:spacing w:after="120"/>
        <w:rPr>
          <w:rFonts w:asciiTheme="majorHAnsi" w:hAnsiTheme="majorHAnsi" w:cstheme="majorHAnsi"/>
          <w:sz w:val="22"/>
          <w:lang w:eastAsia="en-US"/>
        </w:rPr>
      </w:pPr>
      <w:proofErr w:type="gramStart"/>
      <w:r w:rsidRPr="00155B3C">
        <w:rPr>
          <w:rFonts w:asciiTheme="majorHAnsi" w:hAnsiTheme="majorHAnsi" w:cstheme="majorHAnsi"/>
          <w:sz w:val="22"/>
          <w:lang w:eastAsia="en-US"/>
        </w:rPr>
        <w:t>autres</w:t>
      </w:r>
      <w:proofErr w:type="gramEnd"/>
      <w:r w:rsidRPr="00155B3C">
        <w:rPr>
          <w:rFonts w:asciiTheme="majorHAnsi" w:hAnsiTheme="majorHAnsi" w:cstheme="majorHAnsi"/>
          <w:sz w:val="22"/>
          <w:lang w:eastAsia="en-US"/>
        </w:rPr>
        <w:t xml:space="preserve"> modalités ?</w:t>
      </w:r>
    </w:p>
    <w:p w14:paraId="3E1899EF" w14:textId="7BDB2E64"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 xml:space="preserve">En dehors des heures habituelles d’ouverture, les jours fériés, les dimanches et le cas échéant les samedis : </w:t>
      </w: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sollicite une des officines de garde si le médicament n’est pas dans la dotation pour besoins urgents, en appelant le numéro 3237 (géolocalisation des pharmacies les plus proches en indiquant le code postal) </w:t>
      </w:r>
      <w:r w:rsidR="00D75461" w:rsidRPr="00762B41">
        <w:rPr>
          <w:rFonts w:asciiTheme="majorHAnsi" w:eastAsia="Calibri" w:hAnsiTheme="majorHAnsi" w:cstheme="majorHAnsi"/>
          <w:sz w:val="22"/>
          <w:szCs w:val="22"/>
          <w:lang w:eastAsia="en-US"/>
        </w:rPr>
        <w:t xml:space="preserve">ou en consultant les sites </w:t>
      </w:r>
      <w:r w:rsidR="00425CFD" w:rsidRPr="00762B41">
        <w:rPr>
          <w:rFonts w:asciiTheme="majorHAnsi" w:eastAsia="Calibri" w:hAnsiTheme="majorHAnsi" w:cstheme="majorHAnsi"/>
          <w:sz w:val="22"/>
          <w:szCs w:val="22"/>
          <w:lang w:eastAsia="en-US"/>
        </w:rPr>
        <w:t xml:space="preserve">web suivants : </w:t>
      </w:r>
      <w:r w:rsidR="000A184C" w:rsidRPr="00762B41">
        <w:rPr>
          <w:rFonts w:asciiTheme="majorHAnsi" w:eastAsia="Calibri" w:hAnsiTheme="majorHAnsi" w:cstheme="majorHAnsi"/>
          <w:sz w:val="22"/>
          <w:szCs w:val="22"/>
          <w:lang w:eastAsia="en-US"/>
        </w:rPr>
        <w:t>www.</w:t>
      </w:r>
      <w:r w:rsidR="00D75461" w:rsidRPr="00762B41">
        <w:rPr>
          <w:rFonts w:asciiTheme="majorHAnsi" w:eastAsia="Calibri" w:hAnsiTheme="majorHAnsi" w:cstheme="majorHAnsi"/>
          <w:sz w:val="22"/>
          <w:szCs w:val="22"/>
          <w:lang w:eastAsia="en-US"/>
        </w:rPr>
        <w:t xml:space="preserve">lepharmacien.fr ou </w:t>
      </w:r>
      <w:hyperlink r:id="rId11" w:history="1">
        <w:r w:rsidR="009B25A4" w:rsidRPr="00762B41">
          <w:rPr>
            <w:rStyle w:val="Lienhypertexte"/>
            <w:rFonts w:asciiTheme="majorHAnsi" w:eastAsia="Calibri" w:hAnsiTheme="majorHAnsi" w:cstheme="majorHAnsi"/>
            <w:color w:val="auto"/>
            <w:sz w:val="22"/>
            <w:szCs w:val="22"/>
            <w:lang w:eastAsia="en-US"/>
          </w:rPr>
          <w:t>www.resogardes.com</w:t>
        </w:r>
      </w:hyperlink>
      <w:r w:rsidR="000A184C" w:rsidRPr="00762B41">
        <w:rPr>
          <w:rFonts w:asciiTheme="majorHAnsi" w:eastAsia="Calibri" w:hAnsiTheme="majorHAnsi" w:cstheme="majorHAnsi"/>
          <w:sz w:val="22"/>
          <w:szCs w:val="22"/>
          <w:lang w:eastAsia="en-US"/>
        </w:rPr>
        <w:t>.</w:t>
      </w:r>
    </w:p>
    <w:p w14:paraId="50D63FAA"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46552E6E" w14:textId="456EAE1B" w:rsidR="00BA6902" w:rsidRPr="00762B41" w:rsidRDefault="00BA6902" w:rsidP="00762B41">
      <w:pPr>
        <w:suppressAutoHyphens/>
        <w:spacing w:after="120"/>
        <w:jc w:val="both"/>
        <w:rPr>
          <w:rFonts w:asciiTheme="majorHAnsi" w:eastAsia="Calibri" w:hAnsiTheme="majorHAnsi" w:cstheme="majorHAnsi"/>
          <w:sz w:val="22"/>
          <w:szCs w:val="22"/>
          <w:lang w:eastAsia="en-US"/>
        </w:rPr>
      </w:pPr>
      <w:bookmarkStart w:id="11" w:name="_Toc160615784"/>
      <w:r w:rsidRPr="00762B41">
        <w:rPr>
          <w:rStyle w:val="Titre3Car"/>
          <w:rFonts w:asciiTheme="majorHAnsi" w:hAnsiTheme="majorHAnsi" w:cstheme="majorHAnsi"/>
          <w:b/>
          <w:color w:val="auto"/>
          <w:sz w:val="22"/>
          <w:szCs w:val="22"/>
          <w:lang w:eastAsia="en-US"/>
        </w:rPr>
        <w:t>Congés et fermetures exceptionnelles</w:t>
      </w:r>
      <w:bookmarkEnd w:id="11"/>
      <w:r w:rsidRPr="00762B41">
        <w:rPr>
          <w:rFonts w:asciiTheme="majorHAnsi" w:eastAsia="Calibri" w:hAnsiTheme="majorHAnsi" w:cstheme="majorHAnsi"/>
          <w:b/>
          <w:sz w:val="22"/>
          <w:szCs w:val="22"/>
          <w:lang w:eastAsia="en-US"/>
        </w:rPr>
        <w:t xml:space="preserve"> :</w:t>
      </w:r>
      <w:r w:rsidRPr="00762B41">
        <w:rPr>
          <w:rFonts w:asciiTheme="majorHAnsi" w:eastAsia="Calibri" w:hAnsiTheme="majorHAnsi" w:cstheme="majorHAnsi"/>
          <w:sz w:val="22"/>
          <w:szCs w:val="22"/>
          <w:lang w:eastAsia="en-US"/>
        </w:rPr>
        <w:t xml:space="preserve"> le pharmacien informe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de ses dates de fermeture un mois avant et les parties définissent par écrit la procédure pour assurer la continuité de l’approvisionnement.</w:t>
      </w:r>
    </w:p>
    <w:p w14:paraId="4CE30B5A" w14:textId="09F89F20" w:rsidR="00E152B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Les médicaments rétrocédés par une pharmacie à usage intérieur (non disponibles en pharmacie d’officine) sont exclus du périmètre de la présente convention. Il convient à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de définir une organisation permettant l’approvisionnement de ces médicaments pour les résidents concernés.</w:t>
      </w:r>
    </w:p>
    <w:p w14:paraId="3D3749EC" w14:textId="77777777" w:rsidR="00BA6902" w:rsidRPr="00762B41" w:rsidRDefault="00BA6902" w:rsidP="00762B41">
      <w:pPr>
        <w:rPr>
          <w:rFonts w:asciiTheme="majorHAnsi" w:hAnsiTheme="majorHAnsi" w:cstheme="majorHAnsi"/>
        </w:rPr>
      </w:pPr>
    </w:p>
    <w:p w14:paraId="0D1BAE7E" w14:textId="77777777" w:rsidR="00762B41" w:rsidRDefault="00762B41">
      <w:pPr>
        <w:rPr>
          <w:rFonts w:asciiTheme="majorHAnsi" w:eastAsiaTheme="majorEastAsia" w:hAnsiTheme="majorHAnsi" w:cstheme="majorBidi"/>
          <w:b/>
          <w:bCs/>
          <w:color w:val="2E74B5" w:themeColor="accent1" w:themeShade="BF"/>
          <w:sz w:val="36"/>
          <w:szCs w:val="28"/>
        </w:rPr>
      </w:pPr>
      <w:r>
        <w:br w:type="page"/>
      </w:r>
    </w:p>
    <w:p w14:paraId="7A01BD62" w14:textId="77777777" w:rsidR="00BA6902" w:rsidRPr="00762B41" w:rsidRDefault="00671E29" w:rsidP="00762B41">
      <w:pPr>
        <w:pStyle w:val="Titre1"/>
      </w:pPr>
      <w:bookmarkStart w:id="12" w:name="_Toc160615785"/>
      <w:r w:rsidRPr="00762B41">
        <w:t xml:space="preserve">Article 5. </w:t>
      </w:r>
      <w:r w:rsidR="00BA6902" w:rsidRPr="00762B41">
        <w:t xml:space="preserve">Processus </w:t>
      </w:r>
      <w:r w:rsidR="0091008D" w:rsidRPr="00762B41">
        <w:t>de Dispensation</w:t>
      </w:r>
      <w:bookmarkEnd w:id="12"/>
    </w:p>
    <w:p w14:paraId="2FCB5FD9" w14:textId="77777777" w:rsidR="009B25A4" w:rsidRPr="00762B41" w:rsidRDefault="009B25A4" w:rsidP="00762B41">
      <w:pPr>
        <w:rPr>
          <w:rFonts w:asciiTheme="majorHAnsi" w:hAnsiTheme="majorHAnsi" w:cstheme="majorHAnsi"/>
        </w:rPr>
      </w:pPr>
    </w:p>
    <w:p w14:paraId="2828DC6E" w14:textId="77777777" w:rsidR="00BA6902" w:rsidRPr="00762B41" w:rsidRDefault="00BA6902" w:rsidP="00762B41">
      <w:pPr>
        <w:pStyle w:val="Titre2"/>
        <w:rPr>
          <w:rFonts w:eastAsia="MS Gothic" w:cstheme="majorHAnsi"/>
          <w:b/>
          <w:color w:val="auto"/>
          <w:lang w:eastAsia="en-US"/>
        </w:rPr>
      </w:pPr>
      <w:bookmarkStart w:id="13" w:name="_Toc160615786"/>
      <w:r w:rsidRPr="00762B41">
        <w:rPr>
          <w:rFonts w:eastAsia="MS Gothic" w:cstheme="majorHAnsi"/>
          <w:b/>
          <w:color w:val="auto"/>
          <w:lang w:eastAsia="en-US"/>
        </w:rPr>
        <w:t>Prescription</w:t>
      </w:r>
      <w:bookmarkEnd w:id="13"/>
    </w:p>
    <w:p w14:paraId="429D1E36" w14:textId="28EE791C" w:rsidR="00BA6902" w:rsidRPr="00762B41" w:rsidRDefault="00BA6902" w:rsidP="00762B41">
      <w:pPr>
        <w:widowControl w:val="0"/>
        <w:suppressAutoHyphens/>
        <w:jc w:val="both"/>
        <w:rPr>
          <w:rFonts w:asciiTheme="majorHAnsi" w:eastAsia="Calibri" w:hAnsiTheme="majorHAnsi" w:cstheme="majorHAnsi"/>
          <w:sz w:val="22"/>
          <w:szCs w:val="22"/>
        </w:rPr>
      </w:pPr>
      <w:r w:rsidRPr="00762B41">
        <w:rPr>
          <w:rFonts w:asciiTheme="majorHAnsi" w:eastAsia="Calibri" w:hAnsiTheme="majorHAnsi" w:cstheme="majorHAnsi"/>
          <w:sz w:val="22"/>
          <w:szCs w:val="22"/>
        </w:rPr>
        <w:t>D’une façon générale tout médicament administré au sein de l’</w:t>
      </w:r>
      <w:r w:rsidR="00887929">
        <w:rPr>
          <w:rFonts w:asciiTheme="majorHAnsi" w:eastAsia="Calibri" w:hAnsiTheme="majorHAnsi" w:cstheme="majorHAnsi"/>
          <w:sz w:val="22"/>
          <w:szCs w:val="22"/>
        </w:rPr>
        <w:t>ESSMS PH</w:t>
      </w:r>
      <w:r w:rsidRPr="00762B41">
        <w:rPr>
          <w:rFonts w:asciiTheme="majorHAnsi" w:eastAsia="Calibri" w:hAnsiTheme="majorHAnsi" w:cstheme="majorHAnsi"/>
          <w:sz w:val="22"/>
          <w:szCs w:val="22"/>
        </w:rPr>
        <w:t xml:space="preserve"> doit être prescrit par un médecin attaché à l'établissement, médecin coordonnateur et/ou un médecin désigné (médecin traitant, médecins d’autres spécialités impliqués dans la prise en charge) par le résident.</w:t>
      </w:r>
    </w:p>
    <w:p w14:paraId="209CC494" w14:textId="71912F5B" w:rsidR="00BA6902" w:rsidRPr="00762B41" w:rsidRDefault="00BA6902" w:rsidP="00762B41">
      <w:pPr>
        <w:widowControl w:val="0"/>
        <w:suppressAutoHyphens/>
        <w:spacing w:before="90" w:after="120"/>
        <w:ind w:right="147"/>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prescription est nominative, claire, lisible et conforme à la réglementation (art. L.5121-1-2 et R. 5132-3 du CSP). Les modalités de transmissions entre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et l’officine sont </w:t>
      </w:r>
      <w:r w:rsidR="00637B89" w:rsidRPr="00762B41">
        <w:rPr>
          <w:rFonts w:asciiTheme="majorHAnsi" w:eastAsia="Calibri" w:hAnsiTheme="majorHAnsi" w:cstheme="majorHAnsi"/>
          <w:sz w:val="22"/>
          <w:szCs w:val="22"/>
          <w:lang w:eastAsia="en-US"/>
        </w:rPr>
        <w:t>précisé</w:t>
      </w:r>
      <w:r w:rsidR="00DB1B9D" w:rsidRPr="00762B41">
        <w:rPr>
          <w:rFonts w:asciiTheme="majorHAnsi" w:eastAsia="Calibri" w:hAnsiTheme="majorHAnsi" w:cstheme="majorHAnsi"/>
          <w:sz w:val="22"/>
          <w:szCs w:val="22"/>
          <w:lang w:eastAsia="en-US"/>
        </w:rPr>
        <w:t>e</w:t>
      </w:r>
      <w:r w:rsidR="00637B89" w:rsidRPr="00762B41">
        <w:rPr>
          <w:rFonts w:asciiTheme="majorHAnsi" w:eastAsia="Calibri" w:hAnsiTheme="majorHAnsi" w:cstheme="majorHAnsi"/>
          <w:sz w:val="22"/>
          <w:szCs w:val="22"/>
          <w:lang w:eastAsia="en-US"/>
        </w:rPr>
        <w:t xml:space="preserve">s dans </w:t>
      </w:r>
      <w:r w:rsidRPr="00762B41">
        <w:rPr>
          <w:rFonts w:asciiTheme="majorHAnsi" w:eastAsia="Calibri" w:hAnsiTheme="majorHAnsi" w:cstheme="majorHAnsi"/>
          <w:sz w:val="22"/>
          <w:szCs w:val="22"/>
          <w:lang w:eastAsia="en-US"/>
        </w:rPr>
        <w:t xml:space="preserve">la présente convention. </w:t>
      </w:r>
    </w:p>
    <w:p w14:paraId="392E15C4" w14:textId="77777777" w:rsidR="009B25A4" w:rsidRPr="00762B41" w:rsidRDefault="009B25A4" w:rsidP="00762B41">
      <w:pPr>
        <w:widowControl w:val="0"/>
        <w:suppressAutoHyphens/>
        <w:spacing w:before="90" w:after="120"/>
        <w:ind w:right="147"/>
        <w:jc w:val="both"/>
        <w:rPr>
          <w:rFonts w:asciiTheme="majorHAnsi" w:eastAsia="Calibri" w:hAnsiTheme="majorHAnsi" w:cstheme="majorHAnsi"/>
          <w:b/>
          <w:sz w:val="22"/>
          <w:szCs w:val="22"/>
          <w:lang w:eastAsia="en-US"/>
        </w:rPr>
      </w:pPr>
    </w:p>
    <w:p w14:paraId="3805DC4A" w14:textId="77777777" w:rsidR="00BA6902" w:rsidRPr="00762B41" w:rsidRDefault="00BA6902" w:rsidP="00762B41">
      <w:pPr>
        <w:pStyle w:val="Titre2"/>
        <w:rPr>
          <w:rFonts w:eastAsia="MS Gothic" w:cstheme="majorHAnsi"/>
          <w:b/>
          <w:color w:val="auto"/>
          <w:lang w:eastAsia="en-US"/>
        </w:rPr>
      </w:pPr>
      <w:bookmarkStart w:id="14" w:name="_Toc144462441"/>
      <w:bookmarkStart w:id="15" w:name="_Toc160615787"/>
      <w:r w:rsidRPr="00762B41">
        <w:rPr>
          <w:rFonts w:eastAsia="MS Gothic" w:cstheme="majorHAnsi"/>
          <w:b/>
          <w:color w:val="auto"/>
          <w:lang w:eastAsia="en-US"/>
        </w:rPr>
        <w:t>Dispensation pharmaceutique</w:t>
      </w:r>
      <w:bookmarkEnd w:id="14"/>
      <w:bookmarkEnd w:id="15"/>
      <w:r w:rsidRPr="00762B41">
        <w:rPr>
          <w:rFonts w:eastAsia="MS Gothic" w:cstheme="majorHAnsi"/>
          <w:b/>
          <w:color w:val="auto"/>
          <w:lang w:eastAsia="en-US"/>
        </w:rPr>
        <w:t xml:space="preserve"> </w:t>
      </w:r>
    </w:p>
    <w:p w14:paraId="53E0E5CA" w14:textId="4D31F2D4"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 </w:t>
      </w:r>
      <w:r w:rsidR="00680324" w:rsidRPr="0009217A">
        <w:rPr>
          <w:rFonts w:asciiTheme="majorHAnsi" w:eastAsia="Calibri" w:hAnsiTheme="majorHAnsi" w:cstheme="majorHAnsi"/>
          <w:sz w:val="22"/>
          <w:szCs w:val="22"/>
          <w:lang w:eastAsia="en-US"/>
        </w:rPr>
        <w:t xml:space="preserve">Code </w:t>
      </w:r>
      <w:r w:rsidRPr="00762B41">
        <w:rPr>
          <w:rFonts w:asciiTheme="majorHAnsi" w:eastAsia="Calibri" w:hAnsiTheme="majorHAnsi" w:cstheme="majorHAnsi"/>
          <w:sz w:val="22"/>
          <w:szCs w:val="22"/>
          <w:lang w:eastAsia="en-US"/>
        </w:rPr>
        <w:t>de la santé publique définit la dispensation comme l’acte pharmaceutique associant :</w:t>
      </w:r>
    </w:p>
    <w:p w14:paraId="75DC473A"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L’analyse</w:t>
      </w:r>
      <w:r w:rsidR="00BA6902" w:rsidRPr="00762B41">
        <w:rPr>
          <w:rFonts w:asciiTheme="majorHAnsi" w:hAnsiTheme="majorHAnsi" w:cstheme="majorHAnsi"/>
          <w:sz w:val="22"/>
          <w:lang w:eastAsia="en-US"/>
        </w:rPr>
        <w:t xml:space="preserve"> pharmaceutique de l’ordonnance médicale, </w:t>
      </w:r>
    </w:p>
    <w:p w14:paraId="1EA57BE6"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w:t>
      </w:r>
      <w:r w:rsidR="00BA6902" w:rsidRPr="00762B41">
        <w:rPr>
          <w:rFonts w:asciiTheme="majorHAnsi" w:hAnsiTheme="majorHAnsi" w:cstheme="majorHAnsi"/>
          <w:sz w:val="22"/>
          <w:lang w:eastAsia="en-US"/>
        </w:rPr>
        <w:t xml:space="preserve"> préparation éventuelle des doses à administrer, </w:t>
      </w:r>
    </w:p>
    <w:p w14:paraId="4D8EFBE6"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w:t>
      </w:r>
      <w:r w:rsidR="00BA6902" w:rsidRPr="00762B41">
        <w:rPr>
          <w:rFonts w:asciiTheme="majorHAnsi" w:hAnsiTheme="majorHAnsi" w:cstheme="majorHAnsi"/>
          <w:sz w:val="22"/>
          <w:lang w:eastAsia="en-US"/>
        </w:rPr>
        <w:t xml:space="preserve"> délivrance des médicaments </w:t>
      </w:r>
    </w:p>
    <w:p w14:paraId="01627C20"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w:t>
      </w:r>
      <w:r w:rsidR="00BA6902" w:rsidRPr="00762B41">
        <w:rPr>
          <w:rFonts w:asciiTheme="majorHAnsi" w:hAnsiTheme="majorHAnsi" w:cstheme="majorHAnsi"/>
          <w:sz w:val="22"/>
          <w:lang w:eastAsia="en-US"/>
        </w:rPr>
        <w:t xml:space="preserve"> mise à disposition des informations et des conseils nécessaires au bon usage des médicaments.  </w:t>
      </w:r>
    </w:p>
    <w:p w14:paraId="3A409BBC" w14:textId="1A99AD0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Deux situations sont envisagées dans la présente convention, quant à la dispensation des médicaments aux résidents de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par l’officine :</w:t>
      </w:r>
    </w:p>
    <w:p w14:paraId="5BA35968" w14:textId="77777777" w:rsidR="00DB1B9D" w:rsidRPr="00762B41" w:rsidRDefault="00BA6902" w:rsidP="00762B41">
      <w:pPr>
        <w:pStyle w:val="Titre3"/>
        <w:numPr>
          <w:ilvl w:val="0"/>
          <w:numId w:val="13"/>
        </w:numPr>
        <w:rPr>
          <w:rFonts w:asciiTheme="majorHAnsi" w:eastAsia="Calibri" w:hAnsiTheme="majorHAnsi" w:cstheme="majorHAnsi"/>
          <w:b/>
          <w:color w:val="auto"/>
          <w:sz w:val="22"/>
          <w:szCs w:val="22"/>
          <w:lang w:eastAsia="en-US"/>
        </w:rPr>
      </w:pPr>
      <w:bookmarkStart w:id="16" w:name="_Toc160615788"/>
      <w:proofErr w:type="gramStart"/>
      <w:r w:rsidRPr="00762B41">
        <w:rPr>
          <w:rFonts w:asciiTheme="majorHAnsi" w:eastAsia="Calibri" w:hAnsiTheme="majorHAnsi" w:cstheme="majorHAnsi"/>
          <w:b/>
          <w:color w:val="auto"/>
          <w:sz w:val="22"/>
          <w:szCs w:val="22"/>
          <w:lang w:eastAsia="en-US"/>
        </w:rPr>
        <w:t>situation</w:t>
      </w:r>
      <w:proofErr w:type="gramEnd"/>
      <w:r w:rsidRPr="00762B41">
        <w:rPr>
          <w:rFonts w:asciiTheme="majorHAnsi" w:eastAsia="Calibri" w:hAnsiTheme="majorHAnsi" w:cstheme="majorHAnsi"/>
          <w:b/>
          <w:color w:val="auto"/>
          <w:sz w:val="22"/>
          <w:szCs w:val="22"/>
          <w:lang w:eastAsia="en-US"/>
        </w:rPr>
        <w:t xml:space="preserve"> 1 :</w:t>
      </w:r>
      <w:r w:rsidRPr="00762B41">
        <w:rPr>
          <w:rFonts w:asciiTheme="majorHAnsi" w:eastAsia="Calibri" w:hAnsiTheme="majorHAnsi" w:cstheme="majorHAnsi"/>
          <w:b/>
          <w:color w:val="auto"/>
          <w:sz w:val="22"/>
          <w:szCs w:val="22"/>
        </w:rPr>
        <w:t xml:space="preserve"> pas de prestation de PDA</w:t>
      </w:r>
      <w:r w:rsidRPr="00762B41">
        <w:rPr>
          <w:rFonts w:asciiTheme="majorHAnsi" w:eastAsia="Calibri" w:hAnsiTheme="majorHAnsi" w:cstheme="majorHAnsi"/>
          <w:b/>
          <w:color w:val="auto"/>
          <w:sz w:val="22"/>
          <w:szCs w:val="22"/>
          <w:lang w:eastAsia="en-US"/>
        </w:rPr>
        <w:t xml:space="preserve"> réalisée par l’officine.</w:t>
      </w:r>
      <w:bookmarkEnd w:id="16"/>
      <w:r w:rsidRPr="00762B41">
        <w:rPr>
          <w:rFonts w:asciiTheme="majorHAnsi" w:eastAsia="Calibri" w:hAnsiTheme="majorHAnsi" w:cstheme="majorHAnsi"/>
          <w:b/>
          <w:color w:val="auto"/>
          <w:sz w:val="22"/>
          <w:szCs w:val="22"/>
          <w:lang w:eastAsia="en-US"/>
        </w:rPr>
        <w:t xml:space="preserve"> </w:t>
      </w:r>
    </w:p>
    <w:p w14:paraId="74D876BE" w14:textId="77777777" w:rsidR="00A73E66" w:rsidRDefault="00BA6902" w:rsidP="00A73E66">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L’officine délivre les médicaments dans leur conditionnement d’origine. </w:t>
      </w:r>
    </w:p>
    <w:p w14:paraId="226F9C56" w14:textId="088AA1B1" w:rsidR="000A1FC2" w:rsidRPr="00A73E66" w:rsidRDefault="000A1FC2" w:rsidP="00A73E66">
      <w:pPr>
        <w:pStyle w:val="Paragraphedeliste"/>
        <w:numPr>
          <w:ilvl w:val="0"/>
          <w:numId w:val="13"/>
        </w:numPr>
        <w:suppressAutoHyphens/>
        <w:spacing w:after="120"/>
        <w:rPr>
          <w:rFonts w:asciiTheme="majorHAnsi" w:hAnsiTheme="majorHAnsi" w:cstheme="majorHAnsi"/>
          <w:b/>
          <w:sz w:val="22"/>
        </w:rPr>
      </w:pPr>
      <w:proofErr w:type="gramStart"/>
      <w:r w:rsidRPr="00A73E66">
        <w:rPr>
          <w:rFonts w:asciiTheme="majorHAnsi" w:hAnsiTheme="majorHAnsi" w:cstheme="majorHAnsi"/>
          <w:b/>
          <w:sz w:val="22"/>
        </w:rPr>
        <w:t>situation</w:t>
      </w:r>
      <w:proofErr w:type="gramEnd"/>
      <w:r w:rsidRPr="00A73E66">
        <w:rPr>
          <w:rFonts w:asciiTheme="majorHAnsi" w:hAnsiTheme="majorHAnsi" w:cstheme="majorHAnsi"/>
          <w:b/>
          <w:sz w:val="22"/>
        </w:rPr>
        <w:t xml:space="preserve"> 2 : prestations de PDA proposées par l’officine.</w:t>
      </w:r>
    </w:p>
    <w:p w14:paraId="2ECD621D" w14:textId="0C92F397" w:rsidR="00BA6902" w:rsidRPr="00762B41" w:rsidRDefault="00BA6902" w:rsidP="00762B41">
      <w:pPr>
        <w:widowControl w:val="0"/>
        <w:suppressAutoHyphens/>
        <w:ind w:right="158"/>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La PDA, bien que mentionnée dans la définition de l’acte de dispensation (art R4235-48 du CSP), ne fait l'objet d'aucune définition précise et aucun référentiel ne fixe les exigences à respecter pour sa mise en œuvre. Dans ces conditions, la plus grande vigilance s'impose aux professionnels (officinaux et </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lors de la mise en œuvre de la prestation de PDA, leurs responsabilités respectives demeurant pleinement engagées. </w:t>
      </w:r>
    </w:p>
    <w:p w14:paraId="1839C855" w14:textId="77777777" w:rsidR="00BA6902" w:rsidRPr="00762B41" w:rsidRDefault="00BA6902" w:rsidP="00762B41">
      <w:pPr>
        <w:widowControl w:val="0"/>
        <w:suppressAutoHyphens/>
        <w:ind w:right="158"/>
        <w:jc w:val="both"/>
        <w:rPr>
          <w:rFonts w:asciiTheme="majorHAnsi" w:eastAsia="Calibri" w:hAnsiTheme="majorHAnsi" w:cstheme="majorHAnsi"/>
          <w:sz w:val="22"/>
          <w:szCs w:val="22"/>
          <w:lang w:eastAsia="en-US"/>
        </w:rPr>
      </w:pPr>
    </w:p>
    <w:p w14:paraId="2F35DC0B" w14:textId="412DA3D4"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 xml:space="preserve">A noter, la PDA concerne majoritairement les formes sèches solides à l’exclusion, notamment: </w:t>
      </w:r>
    </w:p>
    <w:p w14:paraId="404768B0"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w:t>
      </w:r>
      <w:proofErr w:type="gramEnd"/>
      <w:r w:rsidRPr="00762B41">
        <w:rPr>
          <w:rFonts w:asciiTheme="majorHAnsi" w:hAnsiTheme="majorHAnsi" w:cstheme="majorHAnsi"/>
          <w:sz w:val="22"/>
        </w:rPr>
        <w:t xml:space="preserve"> celles présentant des conditions particulières de conservation (médicaments sensibles à l’humidité, air, lumière), des médicaments à conserver au réfrigérateur ;</w:t>
      </w:r>
    </w:p>
    <w:p w14:paraId="0E8807D9"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des</w:t>
      </w:r>
      <w:proofErr w:type="gramEnd"/>
      <w:r w:rsidRPr="00762B41">
        <w:rPr>
          <w:rFonts w:asciiTheme="majorHAnsi" w:hAnsiTheme="majorHAnsi" w:cstheme="majorHAnsi"/>
          <w:sz w:val="22"/>
        </w:rPr>
        <w:t xml:space="preserve"> comprimés effervescents, </w:t>
      </w:r>
      <w:proofErr w:type="spellStart"/>
      <w:r w:rsidRPr="00762B41">
        <w:rPr>
          <w:rFonts w:asciiTheme="majorHAnsi" w:hAnsiTheme="majorHAnsi" w:cstheme="majorHAnsi"/>
          <w:sz w:val="22"/>
        </w:rPr>
        <w:t>orodispersibles</w:t>
      </w:r>
      <w:proofErr w:type="spellEnd"/>
      <w:r w:rsidRPr="00762B41">
        <w:rPr>
          <w:rFonts w:asciiTheme="majorHAnsi" w:hAnsiTheme="majorHAnsi" w:cstheme="majorHAnsi"/>
          <w:sz w:val="22"/>
        </w:rPr>
        <w:t xml:space="preserve">, </w:t>
      </w:r>
      <w:proofErr w:type="spellStart"/>
      <w:r w:rsidRPr="00762B41">
        <w:rPr>
          <w:rFonts w:asciiTheme="majorHAnsi" w:hAnsiTheme="majorHAnsi" w:cstheme="majorHAnsi"/>
          <w:sz w:val="22"/>
        </w:rPr>
        <w:t>dispersibles</w:t>
      </w:r>
      <w:proofErr w:type="spellEnd"/>
      <w:r w:rsidRPr="00762B41">
        <w:rPr>
          <w:rFonts w:asciiTheme="majorHAnsi" w:hAnsiTheme="majorHAnsi" w:cstheme="majorHAnsi"/>
          <w:sz w:val="22"/>
        </w:rPr>
        <w:t xml:space="preserve">, des capsules molles ; </w:t>
      </w:r>
    </w:p>
    <w:p w14:paraId="13A1D67E"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des</w:t>
      </w:r>
      <w:proofErr w:type="gramEnd"/>
      <w:r w:rsidRPr="00762B41">
        <w:rPr>
          <w:rFonts w:asciiTheme="majorHAnsi" w:hAnsiTheme="majorHAnsi" w:cstheme="majorHAnsi"/>
          <w:sz w:val="22"/>
        </w:rPr>
        <w:t xml:space="preserve"> médicaments prescrits en « si besoin » (prescriptions conditionnelles) ; </w:t>
      </w:r>
    </w:p>
    <w:p w14:paraId="42AE5E44"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des</w:t>
      </w:r>
      <w:proofErr w:type="gramEnd"/>
      <w:r w:rsidRPr="00762B41">
        <w:rPr>
          <w:rFonts w:asciiTheme="majorHAnsi" w:hAnsiTheme="majorHAnsi" w:cstheme="majorHAnsi"/>
          <w:sz w:val="22"/>
        </w:rPr>
        <w:t xml:space="preserve"> traitements nécessitant un suivi biologique (par ex : anticoagulants, </w:t>
      </w:r>
      <w:proofErr w:type="spellStart"/>
      <w:r w:rsidRPr="00762B41">
        <w:rPr>
          <w:rFonts w:asciiTheme="majorHAnsi" w:hAnsiTheme="majorHAnsi" w:cstheme="majorHAnsi"/>
          <w:sz w:val="22"/>
        </w:rPr>
        <w:t>clozapine</w:t>
      </w:r>
      <w:proofErr w:type="spellEnd"/>
      <w:r w:rsidRPr="00762B41">
        <w:rPr>
          <w:rFonts w:asciiTheme="majorHAnsi" w:hAnsiTheme="majorHAnsi" w:cstheme="majorHAnsi"/>
          <w:sz w:val="22"/>
        </w:rPr>
        <w:t xml:space="preserve">), des médicaments hormonaux ou anticancéreux per os (conditions particulières de manipulation), des stupéfiants, des antibiotiques (risque de contamination croisée). </w:t>
      </w:r>
    </w:p>
    <w:p w14:paraId="36631CE9"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1358F80E" w14:textId="0EF2C79F"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L’organisation de la PDA des formes orales sèches exclues de la PDA et des autres formes galéniques, comme les sirops, collyres, ampoules injectables... est à définir conjointement par l’</w:t>
      </w:r>
      <w:r w:rsidR="00887929">
        <w:rPr>
          <w:rFonts w:asciiTheme="majorHAnsi" w:hAnsiTheme="majorHAnsi" w:cstheme="majorHAnsi"/>
          <w:sz w:val="22"/>
          <w:szCs w:val="22"/>
        </w:rPr>
        <w:t>ESSMS PH</w:t>
      </w:r>
      <w:r w:rsidRPr="00762B41">
        <w:rPr>
          <w:rFonts w:asciiTheme="majorHAnsi" w:hAnsiTheme="majorHAnsi" w:cstheme="majorHAnsi"/>
          <w:sz w:val="22"/>
          <w:szCs w:val="22"/>
        </w:rPr>
        <w:t xml:space="preserve"> et la pharmacie d’officine en charge de la PDA. </w:t>
      </w:r>
    </w:p>
    <w:p w14:paraId="5730E9A8" w14:textId="4E4A98DA"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Le schéma organisationnel entre l’officine et l’</w:t>
      </w:r>
      <w:r w:rsidR="00887929">
        <w:rPr>
          <w:rFonts w:asciiTheme="majorHAnsi" w:hAnsiTheme="majorHAnsi" w:cstheme="majorHAnsi"/>
          <w:sz w:val="22"/>
          <w:szCs w:val="22"/>
        </w:rPr>
        <w:t>ESSMS PH</w:t>
      </w:r>
      <w:r w:rsidRPr="00762B41">
        <w:rPr>
          <w:rFonts w:asciiTheme="majorHAnsi" w:hAnsiTheme="majorHAnsi" w:cstheme="majorHAnsi"/>
          <w:sz w:val="22"/>
          <w:szCs w:val="22"/>
        </w:rPr>
        <w:t xml:space="preserve"> identifie les actions et rôles de la pharmacie - Interventions du pharmacien au sein de l’</w:t>
      </w:r>
      <w:r w:rsidR="00887929">
        <w:rPr>
          <w:rFonts w:asciiTheme="majorHAnsi" w:hAnsiTheme="majorHAnsi" w:cstheme="majorHAnsi"/>
          <w:sz w:val="22"/>
          <w:szCs w:val="22"/>
        </w:rPr>
        <w:t>ESSMS PH</w:t>
      </w:r>
      <w:r w:rsidRPr="00762B41">
        <w:rPr>
          <w:rFonts w:asciiTheme="majorHAnsi" w:hAnsiTheme="majorHAnsi" w:cstheme="majorHAnsi"/>
          <w:sz w:val="22"/>
          <w:szCs w:val="22"/>
        </w:rPr>
        <w:t>.</w:t>
      </w:r>
    </w:p>
    <w:p w14:paraId="0A80B132"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061A7281" w14:textId="2F581361" w:rsidR="00BA6902" w:rsidRPr="00762B41" w:rsidRDefault="00BA6902" w:rsidP="00762B41">
      <w:pPr>
        <w:widowControl w:val="0"/>
        <w:suppressAutoHyphens/>
        <w:ind w:right="158"/>
        <w:jc w:val="both"/>
        <w:rPr>
          <w:rFonts w:asciiTheme="majorHAnsi" w:eastAsia="Calibri" w:hAnsiTheme="majorHAnsi" w:cstheme="majorHAnsi"/>
          <w:sz w:val="22"/>
          <w:szCs w:val="22"/>
          <w:lang w:eastAsia="en-US"/>
        </w:rPr>
      </w:pPr>
      <w:r w:rsidRPr="00762B41">
        <w:rPr>
          <w:rFonts w:asciiTheme="majorHAnsi" w:hAnsiTheme="majorHAnsi" w:cstheme="majorHAnsi"/>
          <w:sz w:val="22"/>
          <w:szCs w:val="22"/>
        </w:rPr>
        <w:t>Le plan d’administrati</w:t>
      </w:r>
      <w:r w:rsidR="0077225B" w:rsidRPr="00762B41">
        <w:rPr>
          <w:rFonts w:asciiTheme="majorHAnsi" w:hAnsiTheme="majorHAnsi" w:cstheme="majorHAnsi"/>
          <w:sz w:val="22"/>
          <w:szCs w:val="22"/>
        </w:rPr>
        <w:t xml:space="preserve">on </w:t>
      </w:r>
      <w:r w:rsidRPr="00762B41">
        <w:rPr>
          <w:rFonts w:asciiTheme="majorHAnsi" w:hAnsiTheme="majorHAnsi" w:cstheme="majorHAnsi"/>
          <w:sz w:val="22"/>
          <w:szCs w:val="22"/>
        </w:rPr>
        <w:t>doit faire apparaître toutes les prises de médicaments, qu’elles soient en PDA ou ajoutées manuellement. Le plan d’administration permet de repérer les médicaments à rajouter manuellement. Tous les médicaments non inclus dans les piluliers (ou autres dispositifs retenus) seront étiquetés</w:t>
      </w:r>
      <w:r w:rsidR="00A73E66">
        <w:rPr>
          <w:rFonts w:asciiTheme="majorHAnsi" w:hAnsiTheme="majorHAnsi" w:cstheme="majorHAnsi"/>
          <w:sz w:val="22"/>
          <w:szCs w:val="22"/>
        </w:rPr>
        <w:t xml:space="preserve"> </w:t>
      </w:r>
      <w:proofErr w:type="gramStart"/>
      <w:r w:rsidR="00A73E66">
        <w:rPr>
          <w:rFonts w:asciiTheme="majorHAnsi" w:hAnsiTheme="majorHAnsi" w:cstheme="majorHAnsi"/>
          <w:sz w:val="22"/>
          <w:szCs w:val="22"/>
        </w:rPr>
        <w:t>a</w:t>
      </w:r>
      <w:proofErr w:type="gramEnd"/>
      <w:r w:rsidR="00A73E66">
        <w:rPr>
          <w:rFonts w:asciiTheme="majorHAnsi" w:hAnsiTheme="majorHAnsi" w:cstheme="majorHAnsi"/>
          <w:sz w:val="22"/>
          <w:szCs w:val="22"/>
        </w:rPr>
        <w:t xml:space="preserve"> minima avec les</w:t>
      </w:r>
      <w:r w:rsidRPr="00762B41">
        <w:rPr>
          <w:rFonts w:asciiTheme="majorHAnsi" w:hAnsiTheme="majorHAnsi" w:cstheme="majorHAnsi"/>
          <w:sz w:val="22"/>
          <w:szCs w:val="22"/>
        </w:rPr>
        <w:t xml:space="preserve"> nom </w:t>
      </w:r>
      <w:r w:rsidRPr="00A73E66">
        <w:rPr>
          <w:rFonts w:asciiTheme="majorHAnsi" w:hAnsiTheme="majorHAnsi" w:cstheme="majorHAnsi"/>
          <w:sz w:val="22"/>
          <w:szCs w:val="22"/>
          <w:u w:val="single"/>
        </w:rPr>
        <w:t>et</w:t>
      </w:r>
      <w:r w:rsidRPr="00762B41">
        <w:rPr>
          <w:rFonts w:asciiTheme="majorHAnsi" w:hAnsiTheme="majorHAnsi" w:cstheme="majorHAnsi"/>
          <w:sz w:val="22"/>
          <w:szCs w:val="22"/>
        </w:rPr>
        <w:t xml:space="preserve"> prénom du résident auxquels ils sont destinés</w:t>
      </w:r>
      <w:r w:rsidR="00BE01E5">
        <w:rPr>
          <w:rFonts w:asciiTheme="majorHAnsi" w:hAnsiTheme="majorHAnsi" w:cstheme="majorHAnsi"/>
          <w:sz w:val="22"/>
          <w:szCs w:val="22"/>
        </w:rPr>
        <w:t xml:space="preserve"> (cf. charte régionale d’identitovigilance)</w:t>
      </w:r>
      <w:r w:rsidRPr="00762B41">
        <w:rPr>
          <w:rFonts w:asciiTheme="majorHAnsi" w:hAnsiTheme="majorHAnsi" w:cstheme="majorHAnsi"/>
          <w:sz w:val="22"/>
          <w:szCs w:val="22"/>
        </w:rPr>
        <w:t xml:space="preserve">. </w:t>
      </w:r>
    </w:p>
    <w:p w14:paraId="3FA78033"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17EE0D5B" w14:textId="77777777"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En cas de modification de traitement, la transmission de l’information de ce changement doit être réalisée selon les mêmes modalités que celles utilisées pour la transmission des prescriptions (la plus sûre et la plus confidentielle possible). Une procédure devra préciser les modalités de prise en compte :</w:t>
      </w:r>
    </w:p>
    <w:p w14:paraId="228313F5" w14:textId="7D45E810" w:rsidR="00BA6902" w:rsidRPr="00633707" w:rsidRDefault="00BA6902" w:rsidP="00633707">
      <w:pPr>
        <w:pStyle w:val="Paragraphedeliste"/>
        <w:widowControl w:val="0"/>
        <w:numPr>
          <w:ilvl w:val="0"/>
          <w:numId w:val="16"/>
        </w:numPr>
        <w:suppressAutoHyphens/>
        <w:spacing w:after="120"/>
        <w:ind w:right="158"/>
        <w:rPr>
          <w:rFonts w:asciiTheme="majorHAnsi" w:hAnsiTheme="majorHAnsi" w:cstheme="majorHAnsi"/>
          <w:sz w:val="22"/>
        </w:rPr>
      </w:pPr>
      <w:proofErr w:type="gramStart"/>
      <w:r w:rsidRPr="00633707">
        <w:rPr>
          <w:rFonts w:asciiTheme="majorHAnsi" w:hAnsiTheme="majorHAnsi" w:cstheme="majorHAnsi"/>
          <w:sz w:val="22"/>
        </w:rPr>
        <w:t>des</w:t>
      </w:r>
      <w:proofErr w:type="gramEnd"/>
      <w:r w:rsidRPr="00633707">
        <w:rPr>
          <w:rFonts w:asciiTheme="majorHAnsi" w:hAnsiTheme="majorHAnsi" w:cstheme="majorHAnsi"/>
          <w:sz w:val="22"/>
        </w:rPr>
        <w:t xml:space="preserve"> modifications de traitement </w:t>
      </w:r>
      <w:r w:rsidR="00BE01E5">
        <w:rPr>
          <w:rFonts w:asciiTheme="majorHAnsi" w:hAnsiTheme="majorHAnsi" w:cstheme="majorHAnsi"/>
          <w:sz w:val="22"/>
        </w:rPr>
        <w:t>par la pharmacie (</w:t>
      </w:r>
      <w:proofErr w:type="spellStart"/>
      <w:r w:rsidR="00BE01E5">
        <w:rPr>
          <w:rFonts w:asciiTheme="majorHAnsi" w:hAnsiTheme="majorHAnsi" w:cstheme="majorHAnsi"/>
          <w:sz w:val="22"/>
        </w:rPr>
        <w:t>repréparation</w:t>
      </w:r>
      <w:proofErr w:type="spellEnd"/>
      <w:r w:rsidRPr="00633707">
        <w:rPr>
          <w:rFonts w:asciiTheme="majorHAnsi" w:hAnsiTheme="majorHAnsi" w:cstheme="majorHAnsi"/>
          <w:sz w:val="22"/>
        </w:rPr>
        <w:t xml:space="preserve">) </w:t>
      </w:r>
    </w:p>
    <w:p w14:paraId="19A164D0" w14:textId="77777777" w:rsidR="00BA6902" w:rsidRPr="00633707" w:rsidRDefault="00BA6902" w:rsidP="00633707">
      <w:pPr>
        <w:pStyle w:val="Paragraphedeliste"/>
        <w:widowControl w:val="0"/>
        <w:numPr>
          <w:ilvl w:val="0"/>
          <w:numId w:val="16"/>
        </w:numPr>
        <w:suppressAutoHyphens/>
        <w:spacing w:after="120"/>
        <w:ind w:right="158"/>
        <w:rPr>
          <w:rFonts w:asciiTheme="majorHAnsi" w:hAnsiTheme="majorHAnsi" w:cstheme="majorHAnsi"/>
          <w:sz w:val="22"/>
        </w:rPr>
      </w:pPr>
      <w:proofErr w:type="gramStart"/>
      <w:r w:rsidRPr="00633707">
        <w:rPr>
          <w:rFonts w:asciiTheme="majorHAnsi" w:hAnsiTheme="majorHAnsi" w:cstheme="majorHAnsi"/>
          <w:sz w:val="22"/>
        </w:rPr>
        <w:t>les</w:t>
      </w:r>
      <w:proofErr w:type="gramEnd"/>
      <w:r w:rsidRPr="00633707">
        <w:rPr>
          <w:rFonts w:asciiTheme="majorHAnsi" w:hAnsiTheme="majorHAnsi" w:cstheme="majorHAnsi"/>
          <w:sz w:val="22"/>
        </w:rPr>
        <w:t xml:space="preserve"> modalités de gestion de retour des traitements non administrés ; </w:t>
      </w:r>
    </w:p>
    <w:p w14:paraId="5FA54BFD" w14:textId="69856140" w:rsidR="00BA6902" w:rsidRPr="00633707" w:rsidRDefault="00BA6902" w:rsidP="00633707">
      <w:pPr>
        <w:pStyle w:val="Paragraphedeliste"/>
        <w:widowControl w:val="0"/>
        <w:numPr>
          <w:ilvl w:val="0"/>
          <w:numId w:val="16"/>
        </w:numPr>
        <w:suppressAutoHyphens/>
        <w:spacing w:after="120"/>
        <w:ind w:right="158"/>
        <w:rPr>
          <w:rFonts w:asciiTheme="majorHAnsi" w:hAnsiTheme="majorHAnsi" w:cstheme="majorHAnsi"/>
          <w:sz w:val="22"/>
        </w:rPr>
      </w:pPr>
      <w:proofErr w:type="gramStart"/>
      <w:r w:rsidRPr="00633707">
        <w:rPr>
          <w:rFonts w:asciiTheme="majorHAnsi" w:hAnsiTheme="majorHAnsi" w:cstheme="majorHAnsi"/>
          <w:sz w:val="22"/>
        </w:rPr>
        <w:t>des</w:t>
      </w:r>
      <w:proofErr w:type="gramEnd"/>
      <w:r w:rsidRPr="00633707">
        <w:rPr>
          <w:rFonts w:asciiTheme="majorHAnsi" w:hAnsiTheme="majorHAnsi" w:cstheme="majorHAnsi"/>
          <w:sz w:val="22"/>
        </w:rPr>
        <w:t xml:space="preserve"> modifications de traitement au sein de l’</w:t>
      </w:r>
      <w:r w:rsidR="00887929">
        <w:rPr>
          <w:rFonts w:asciiTheme="majorHAnsi" w:hAnsiTheme="majorHAnsi" w:cstheme="majorHAnsi"/>
          <w:sz w:val="22"/>
        </w:rPr>
        <w:t>ESSMS PH</w:t>
      </w:r>
      <w:r w:rsidRPr="00633707">
        <w:rPr>
          <w:rFonts w:asciiTheme="majorHAnsi" w:hAnsiTheme="majorHAnsi" w:cstheme="majorHAnsi"/>
          <w:sz w:val="22"/>
        </w:rPr>
        <w:t xml:space="preserve"> après livraison des piluliers. </w:t>
      </w:r>
    </w:p>
    <w:p w14:paraId="63610D3D" w14:textId="77777777" w:rsidR="00ED2A59" w:rsidRPr="00762B41" w:rsidRDefault="00ED2A59" w:rsidP="00633707">
      <w:pPr>
        <w:widowControl w:val="0"/>
        <w:suppressAutoHyphens/>
        <w:spacing w:after="120"/>
        <w:ind w:right="158"/>
        <w:jc w:val="both"/>
        <w:rPr>
          <w:rFonts w:asciiTheme="majorHAnsi" w:hAnsiTheme="majorHAnsi" w:cstheme="majorHAnsi"/>
          <w:sz w:val="22"/>
          <w:szCs w:val="22"/>
        </w:rPr>
      </w:pPr>
    </w:p>
    <w:p w14:paraId="1D45BF52" w14:textId="77777777"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Complétez la partie ci-dessous relative à la PDA : </w:t>
      </w:r>
    </w:p>
    <w:p w14:paraId="233425BD" w14:textId="369D7FC4"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 xml:space="preserve">Préparation des doses à administrer réalisée par </w:t>
      </w:r>
      <w:r w:rsidR="00A73E66" w:rsidRPr="00BE01E5">
        <w:rPr>
          <w:rFonts w:asciiTheme="majorHAnsi" w:eastAsia="Calibri" w:hAnsiTheme="majorHAnsi" w:cstheme="majorHAnsi"/>
          <w:b/>
          <w:sz w:val="22"/>
          <w:szCs w:val="22"/>
          <w:lang w:eastAsia="en-US"/>
        </w:rPr>
        <w:t>o</w:t>
      </w:r>
      <w:r w:rsidRPr="00BE01E5">
        <w:rPr>
          <w:rFonts w:asciiTheme="majorHAnsi" w:eastAsia="Calibri" w:hAnsiTheme="majorHAnsi" w:cstheme="majorHAnsi"/>
          <w:b/>
          <w:sz w:val="22"/>
          <w:szCs w:val="22"/>
          <w:lang w:eastAsia="en-US"/>
        </w:rPr>
        <w:t>fficine</w:t>
      </w:r>
      <w:r w:rsidRPr="00762B41">
        <w:rPr>
          <w:rFonts w:asciiTheme="majorHAnsi" w:eastAsia="Calibri" w:hAnsiTheme="majorHAnsi" w:cstheme="majorHAnsi"/>
          <w:sz w:val="22"/>
          <w:szCs w:val="22"/>
          <w:lang w:eastAsia="en-US"/>
        </w:rPr>
        <w:t xml:space="preserve">  </w:t>
      </w:r>
    </w:p>
    <w:p w14:paraId="2298951C" w14:textId="1864BDB2" w:rsidR="00BA6902" w:rsidRDefault="00633707" w:rsidP="00762B41">
      <w:pPr>
        <w:pBdr>
          <w:top w:val="single" w:sz="4" w:space="1" w:color="000000"/>
          <w:left w:val="single" w:sz="4" w:space="4" w:color="000000"/>
          <w:bottom w:val="single" w:sz="4" w:space="0" w:color="000000"/>
          <w:right w:val="single" w:sz="4" w:space="4" w:color="000000"/>
        </w:pBdr>
        <w:suppressAutoHyphens/>
        <w:spacing w:after="120"/>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sym w:font="Wingdings" w:char="F0A8"/>
      </w:r>
      <w:r>
        <w:rPr>
          <w:rFonts w:asciiTheme="majorHAnsi" w:eastAsia="Calibri" w:hAnsiTheme="majorHAnsi" w:cstheme="majorHAnsi"/>
          <w:sz w:val="22"/>
          <w:szCs w:val="22"/>
          <w:lang w:eastAsia="en-US"/>
        </w:rPr>
        <w:t xml:space="preserve"> </w:t>
      </w:r>
      <w:r w:rsidR="00A73E66">
        <w:rPr>
          <w:rFonts w:asciiTheme="majorHAnsi" w:eastAsia="Calibri" w:hAnsiTheme="majorHAnsi" w:cstheme="majorHAnsi"/>
          <w:sz w:val="22"/>
          <w:szCs w:val="22"/>
          <w:lang w:eastAsia="en-US"/>
        </w:rPr>
        <w:t>OUI</w:t>
      </w:r>
    </w:p>
    <w:p w14:paraId="440D6B97" w14:textId="3FF50A6B" w:rsidR="00A73E66" w:rsidRDefault="00A73E66" w:rsidP="00A73E66">
      <w:pPr>
        <w:pBdr>
          <w:top w:val="single" w:sz="4" w:space="1" w:color="000000"/>
          <w:left w:val="single" w:sz="4" w:space="4" w:color="000000"/>
          <w:bottom w:val="single" w:sz="4" w:space="0" w:color="000000"/>
          <w:right w:val="single" w:sz="4" w:space="4" w:color="000000"/>
        </w:pBdr>
        <w:suppressAutoHyphens/>
        <w:spacing w:after="120"/>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sym w:font="Wingdings" w:char="F0A8"/>
      </w:r>
      <w:r>
        <w:rPr>
          <w:rFonts w:asciiTheme="majorHAnsi" w:eastAsia="Calibri" w:hAnsiTheme="majorHAnsi" w:cstheme="majorHAnsi"/>
          <w:sz w:val="22"/>
          <w:szCs w:val="22"/>
          <w:lang w:eastAsia="en-US"/>
        </w:rPr>
        <w:t xml:space="preserve"> NON</w:t>
      </w:r>
    </w:p>
    <w:p w14:paraId="261ED0FE" w14:textId="77777777" w:rsidR="00A73E66" w:rsidRDefault="00A73E66"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b/>
          <w:sz w:val="22"/>
          <w:szCs w:val="22"/>
          <w:lang w:eastAsia="en-US"/>
        </w:rPr>
      </w:pPr>
    </w:p>
    <w:p w14:paraId="529D17A8" w14:textId="53A7277E"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b/>
          <w:sz w:val="22"/>
          <w:szCs w:val="22"/>
          <w:lang w:eastAsia="en-US"/>
        </w:rPr>
      </w:pPr>
      <w:r w:rsidRPr="00762B41">
        <w:rPr>
          <w:rFonts w:asciiTheme="majorHAnsi" w:eastAsia="Calibri" w:hAnsiTheme="majorHAnsi" w:cstheme="majorHAnsi"/>
          <w:b/>
          <w:sz w:val="22"/>
          <w:szCs w:val="22"/>
          <w:lang w:eastAsia="en-US"/>
        </w:rPr>
        <w:t xml:space="preserve">Si </w:t>
      </w:r>
      <w:r w:rsidR="00BE01E5">
        <w:rPr>
          <w:rFonts w:asciiTheme="majorHAnsi" w:eastAsia="Calibri" w:hAnsiTheme="majorHAnsi" w:cstheme="majorHAnsi"/>
          <w:b/>
          <w:sz w:val="22"/>
          <w:szCs w:val="22"/>
          <w:lang w:eastAsia="en-US"/>
        </w:rPr>
        <w:t>OUI</w:t>
      </w:r>
      <w:r w:rsidRPr="00762B41">
        <w:rPr>
          <w:rFonts w:asciiTheme="majorHAnsi" w:eastAsia="Calibri" w:hAnsiTheme="majorHAnsi" w:cstheme="majorHAnsi"/>
          <w:b/>
          <w:sz w:val="22"/>
          <w:szCs w:val="22"/>
          <w:lang w:eastAsia="en-US"/>
        </w:rPr>
        <w:t>, détaillez les modalités de PDA</w:t>
      </w:r>
    </w:p>
    <w:p w14:paraId="6FA1629E"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633707">
        <w:rPr>
          <w:rFonts w:asciiTheme="majorHAnsi" w:hAnsiTheme="majorHAnsi" w:cstheme="majorHAnsi"/>
          <w:i/>
          <w:sz w:val="22"/>
          <w:lang w:eastAsia="en-US"/>
        </w:rPr>
        <w:t>la</w:t>
      </w:r>
      <w:proofErr w:type="gramEnd"/>
      <w:r w:rsidRPr="00633707">
        <w:rPr>
          <w:rFonts w:asciiTheme="majorHAnsi" w:hAnsiTheme="majorHAnsi" w:cstheme="majorHAnsi"/>
          <w:i/>
          <w:sz w:val="22"/>
          <w:lang w:eastAsia="en-US"/>
        </w:rPr>
        <w:t xml:space="preserve"> méthode de PDA choisie</w:t>
      </w:r>
      <w:r w:rsidRPr="00633707">
        <w:rPr>
          <w:rFonts w:asciiTheme="majorHAnsi" w:hAnsiTheme="majorHAnsi" w:cstheme="majorHAnsi"/>
          <w:b/>
          <w:sz w:val="22"/>
          <w:lang w:eastAsia="en-US"/>
        </w:rPr>
        <w:t> </w:t>
      </w:r>
      <w:r w:rsidRPr="00633707">
        <w:rPr>
          <w:rFonts w:asciiTheme="majorHAnsi" w:hAnsiTheme="majorHAnsi" w:cstheme="majorHAnsi"/>
          <w:i/>
          <w:lang w:eastAsia="en-US"/>
        </w:rPr>
        <w:t>: manuelle  ou  automatisée</w:t>
      </w:r>
    </w:p>
    <w:p w14:paraId="1D513865" w14:textId="760EC9B5" w:rsidR="00BA6902" w:rsidRPr="00155B3C"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633707">
        <w:rPr>
          <w:rFonts w:asciiTheme="majorHAnsi" w:hAnsiTheme="majorHAnsi" w:cstheme="majorHAnsi"/>
          <w:i/>
          <w:sz w:val="22"/>
          <w:lang w:eastAsia="en-US"/>
        </w:rPr>
        <w:t>la</w:t>
      </w:r>
      <w:proofErr w:type="gramEnd"/>
      <w:r w:rsidRPr="00633707">
        <w:rPr>
          <w:rFonts w:asciiTheme="majorHAnsi" w:hAnsiTheme="majorHAnsi" w:cstheme="majorHAnsi"/>
          <w:i/>
          <w:sz w:val="22"/>
          <w:lang w:eastAsia="en-US"/>
        </w:rPr>
        <w:t xml:space="preserve"> durée de préparation (recommandé pour 7 jours): </w:t>
      </w:r>
    </w:p>
    <w:p w14:paraId="0056ACD1" w14:textId="3B4ED68B" w:rsidR="006A4274" w:rsidRDefault="009C7CA5" w:rsidP="009C7CA5">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9C7CA5">
        <w:rPr>
          <w:rFonts w:asciiTheme="majorHAnsi" w:hAnsiTheme="majorHAnsi" w:cstheme="majorHAnsi"/>
          <w:b/>
          <w:sz w:val="22"/>
          <w:lang w:eastAsia="en-US"/>
        </w:rPr>
        <w:t>le</w:t>
      </w:r>
      <w:proofErr w:type="gramEnd"/>
      <w:r w:rsidRPr="009C7CA5">
        <w:rPr>
          <w:rFonts w:asciiTheme="majorHAnsi" w:hAnsiTheme="majorHAnsi" w:cstheme="majorHAnsi"/>
          <w:b/>
          <w:sz w:val="22"/>
          <w:lang w:eastAsia="en-US"/>
        </w:rPr>
        <w:t xml:space="preserve"> </w:t>
      </w:r>
      <w:r w:rsidR="006A4274">
        <w:rPr>
          <w:rFonts w:asciiTheme="majorHAnsi" w:hAnsiTheme="majorHAnsi" w:cstheme="majorHAnsi"/>
          <w:b/>
          <w:sz w:val="22"/>
          <w:lang w:eastAsia="en-US"/>
        </w:rPr>
        <w:t xml:space="preserve">type </w:t>
      </w:r>
      <w:r w:rsidR="002F1372">
        <w:rPr>
          <w:rFonts w:asciiTheme="majorHAnsi" w:hAnsiTheme="majorHAnsi" w:cstheme="majorHAnsi"/>
          <w:b/>
          <w:sz w:val="22"/>
          <w:lang w:eastAsia="en-US"/>
        </w:rPr>
        <w:t xml:space="preserve">de </w:t>
      </w:r>
      <w:r w:rsidRPr="009C7CA5">
        <w:rPr>
          <w:rFonts w:asciiTheme="majorHAnsi" w:hAnsiTheme="majorHAnsi" w:cstheme="majorHAnsi"/>
          <w:b/>
          <w:sz w:val="22"/>
          <w:lang w:eastAsia="en-US"/>
        </w:rPr>
        <w:t>dispositif prévu</w:t>
      </w:r>
      <w:r w:rsidR="006A4274">
        <w:rPr>
          <w:rFonts w:asciiTheme="majorHAnsi" w:hAnsiTheme="majorHAnsi" w:cstheme="majorHAnsi"/>
          <w:b/>
          <w:sz w:val="22"/>
          <w:lang w:eastAsia="en-US"/>
        </w:rPr>
        <w:t> :</w:t>
      </w:r>
      <w:r w:rsidRPr="009C7CA5">
        <w:rPr>
          <w:rFonts w:asciiTheme="majorHAnsi" w:hAnsiTheme="majorHAnsi" w:cstheme="majorHAnsi"/>
          <w:b/>
          <w:sz w:val="22"/>
          <w:lang w:eastAsia="en-US"/>
        </w:rPr>
        <w:t xml:space="preserve"> (pilulier, </w:t>
      </w:r>
      <w:r>
        <w:rPr>
          <w:rFonts w:asciiTheme="majorHAnsi" w:hAnsiTheme="majorHAnsi" w:cstheme="majorHAnsi"/>
          <w:b/>
          <w:sz w:val="22"/>
          <w:lang w:eastAsia="en-US"/>
        </w:rPr>
        <w:t>« escargot »</w:t>
      </w:r>
      <w:r w:rsidR="006A4274">
        <w:rPr>
          <w:rFonts w:asciiTheme="majorHAnsi" w:hAnsiTheme="majorHAnsi" w:cstheme="majorHAnsi"/>
          <w:b/>
          <w:sz w:val="22"/>
          <w:lang w:eastAsia="en-US"/>
        </w:rPr>
        <w:t xml:space="preserve"> de sachets, plaque thermoformées etc… ? à préciser</w:t>
      </w:r>
      <w:r>
        <w:rPr>
          <w:rFonts w:asciiTheme="majorHAnsi" w:hAnsiTheme="majorHAnsi" w:cstheme="majorHAnsi"/>
          <w:b/>
          <w:sz w:val="22"/>
          <w:lang w:eastAsia="en-US"/>
        </w:rPr>
        <w:t xml:space="preserve">) ; </w:t>
      </w:r>
    </w:p>
    <w:p w14:paraId="128235A5" w14:textId="79C9A802" w:rsidR="009C7CA5" w:rsidRPr="009C7CA5" w:rsidRDefault="009C7CA5" w:rsidP="009C7CA5">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Pr>
          <w:rFonts w:asciiTheme="majorHAnsi" w:hAnsiTheme="majorHAnsi" w:cstheme="majorHAnsi"/>
          <w:b/>
          <w:sz w:val="22"/>
          <w:lang w:eastAsia="en-US"/>
        </w:rPr>
        <w:t>son</w:t>
      </w:r>
      <w:proofErr w:type="gramEnd"/>
      <w:r>
        <w:rPr>
          <w:rFonts w:asciiTheme="majorHAnsi" w:hAnsiTheme="majorHAnsi" w:cstheme="majorHAnsi"/>
          <w:b/>
          <w:sz w:val="22"/>
          <w:lang w:eastAsia="en-US"/>
        </w:rPr>
        <w:t xml:space="preserve"> étiquetage </w:t>
      </w:r>
      <w:r w:rsidRPr="009C7CA5">
        <w:rPr>
          <w:rFonts w:asciiTheme="majorHAnsi" w:hAnsiTheme="majorHAnsi" w:cstheme="majorHAnsi"/>
          <w:b/>
          <w:sz w:val="22"/>
          <w:lang w:eastAsia="en-US"/>
        </w:rPr>
        <w:t xml:space="preserve">identifiant le résident </w:t>
      </w:r>
      <w:r w:rsidR="007B2450">
        <w:rPr>
          <w:rFonts w:asciiTheme="majorHAnsi" w:hAnsiTheme="majorHAnsi" w:cstheme="majorHAnsi"/>
          <w:b/>
          <w:sz w:val="22"/>
          <w:lang w:eastAsia="en-US"/>
        </w:rPr>
        <w:t xml:space="preserve">, le médicament et </w:t>
      </w:r>
      <w:r w:rsidRPr="009C7CA5">
        <w:rPr>
          <w:rFonts w:asciiTheme="majorHAnsi" w:hAnsiTheme="majorHAnsi" w:cstheme="majorHAnsi"/>
          <w:b/>
          <w:sz w:val="22"/>
          <w:lang w:eastAsia="en-US"/>
        </w:rPr>
        <w:t xml:space="preserve"> la date et l'heure de prise. </w:t>
      </w:r>
    </w:p>
    <w:p w14:paraId="2850C319" w14:textId="77777777" w:rsidR="009C7CA5" w:rsidRPr="009C7CA5" w:rsidRDefault="009C7CA5" w:rsidP="009C7CA5">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r w:rsidRPr="009C7CA5">
        <w:rPr>
          <w:rFonts w:asciiTheme="majorHAnsi" w:hAnsiTheme="majorHAnsi" w:cstheme="majorHAnsi"/>
          <w:b/>
          <w:sz w:val="22"/>
          <w:lang w:eastAsia="en-US"/>
        </w:rPr>
        <w:t>Les contrôles qualité (type de contrôles effectués et modalités de traçabilité de ces derniers).</w:t>
      </w:r>
    </w:p>
    <w:p w14:paraId="071E5873"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i/>
          <w:sz w:val="22"/>
          <w:lang w:eastAsia="en-US"/>
        </w:rPr>
      </w:pPr>
      <w:proofErr w:type="gramStart"/>
      <w:r w:rsidRPr="00633707">
        <w:rPr>
          <w:rFonts w:asciiTheme="majorHAnsi" w:hAnsiTheme="majorHAnsi" w:cstheme="majorHAnsi"/>
          <w:i/>
          <w:sz w:val="22"/>
          <w:lang w:eastAsia="en-US"/>
        </w:rPr>
        <w:t>autres</w:t>
      </w:r>
      <w:proofErr w:type="gramEnd"/>
      <w:r w:rsidRPr="00633707">
        <w:rPr>
          <w:rFonts w:asciiTheme="majorHAnsi" w:hAnsiTheme="majorHAnsi" w:cstheme="majorHAnsi"/>
          <w:i/>
          <w:sz w:val="22"/>
          <w:lang w:eastAsia="en-US"/>
        </w:rPr>
        <w:t> :</w:t>
      </w:r>
    </w:p>
    <w:p w14:paraId="3233F185" w14:textId="77777777"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Il est recommandé </w:t>
      </w:r>
    </w:p>
    <w:p w14:paraId="0DC54892" w14:textId="01630C37" w:rsidR="00BA6902" w:rsidRPr="00633707" w:rsidRDefault="00BA6902" w:rsidP="00633707">
      <w:pPr>
        <w:pStyle w:val="Paragraphedeliste"/>
        <w:numPr>
          <w:ilvl w:val="0"/>
          <w:numId w:val="18"/>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i/>
          <w:sz w:val="22"/>
          <w:lang w:eastAsia="en-US"/>
        </w:rPr>
      </w:pPr>
      <w:proofErr w:type="gramStart"/>
      <w:r w:rsidRPr="00633707">
        <w:rPr>
          <w:rFonts w:asciiTheme="majorHAnsi" w:hAnsiTheme="majorHAnsi" w:cstheme="majorHAnsi"/>
          <w:i/>
          <w:sz w:val="22"/>
          <w:lang w:eastAsia="en-US"/>
        </w:rPr>
        <w:t>de</w:t>
      </w:r>
      <w:proofErr w:type="gramEnd"/>
      <w:r w:rsidRPr="00633707">
        <w:rPr>
          <w:rFonts w:asciiTheme="majorHAnsi" w:hAnsiTheme="majorHAnsi" w:cstheme="majorHAnsi"/>
          <w:i/>
          <w:sz w:val="22"/>
          <w:lang w:eastAsia="en-US"/>
        </w:rPr>
        <w:t xml:space="preserve"> joindre le plan d’administration remis à l’</w:t>
      </w:r>
      <w:r w:rsidR="00887929">
        <w:rPr>
          <w:rFonts w:asciiTheme="majorHAnsi" w:hAnsiTheme="majorHAnsi" w:cstheme="majorHAnsi"/>
          <w:i/>
          <w:sz w:val="22"/>
          <w:lang w:eastAsia="en-US"/>
        </w:rPr>
        <w:t>ESSMS PH</w:t>
      </w:r>
      <w:r w:rsidRPr="00633707">
        <w:rPr>
          <w:rFonts w:asciiTheme="majorHAnsi" w:hAnsiTheme="majorHAnsi" w:cstheme="majorHAnsi"/>
          <w:i/>
          <w:sz w:val="22"/>
          <w:lang w:eastAsia="en-US"/>
        </w:rPr>
        <w:t xml:space="preserve"> accompagnant le traitement à l’issue de la PDA (ensemble des traitements prescrits inclus et exclus de la PDA doivent figurer sur le plan d’administration)</w:t>
      </w:r>
      <w:r w:rsidRPr="00633707">
        <w:rPr>
          <w:rFonts w:asciiTheme="majorHAnsi" w:hAnsiTheme="majorHAnsi" w:cstheme="majorHAnsi"/>
          <w:sz w:val="22"/>
          <w:lang w:eastAsia="en-US"/>
        </w:rPr>
        <w:t xml:space="preserve"> </w:t>
      </w:r>
    </w:p>
    <w:p w14:paraId="647DC6EE" w14:textId="77777777" w:rsidR="00BA6902" w:rsidRPr="00633707" w:rsidRDefault="00BA6902" w:rsidP="00633707">
      <w:pPr>
        <w:pStyle w:val="Paragraphedeliste"/>
        <w:numPr>
          <w:ilvl w:val="0"/>
          <w:numId w:val="18"/>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i/>
          <w:sz w:val="22"/>
          <w:lang w:eastAsia="en-US"/>
        </w:rPr>
      </w:pPr>
      <w:proofErr w:type="gramStart"/>
      <w:r w:rsidRPr="00633707">
        <w:rPr>
          <w:rFonts w:asciiTheme="majorHAnsi" w:hAnsiTheme="majorHAnsi" w:cstheme="majorHAnsi"/>
          <w:i/>
          <w:sz w:val="22"/>
          <w:lang w:eastAsia="en-US"/>
        </w:rPr>
        <w:t>de</w:t>
      </w:r>
      <w:proofErr w:type="gramEnd"/>
      <w:r w:rsidRPr="00633707">
        <w:rPr>
          <w:rFonts w:asciiTheme="majorHAnsi" w:hAnsiTheme="majorHAnsi" w:cstheme="majorHAnsi"/>
          <w:i/>
          <w:sz w:val="22"/>
          <w:lang w:eastAsia="en-US"/>
        </w:rPr>
        <w:t xml:space="preserve"> proposer des échantillons du matériel utilisé (plaquette </w:t>
      </w:r>
      <w:proofErr w:type="spellStart"/>
      <w:r w:rsidRPr="00633707">
        <w:rPr>
          <w:rFonts w:asciiTheme="majorHAnsi" w:hAnsiTheme="majorHAnsi" w:cstheme="majorHAnsi"/>
          <w:i/>
          <w:sz w:val="22"/>
          <w:lang w:eastAsia="en-US"/>
        </w:rPr>
        <w:t>monodose</w:t>
      </w:r>
      <w:proofErr w:type="spellEnd"/>
      <w:r w:rsidRPr="00633707">
        <w:rPr>
          <w:rFonts w:asciiTheme="majorHAnsi" w:hAnsiTheme="majorHAnsi" w:cstheme="majorHAnsi"/>
          <w:i/>
          <w:sz w:val="22"/>
          <w:lang w:eastAsia="en-US"/>
        </w:rPr>
        <w:t xml:space="preserve">, </w:t>
      </w:r>
      <w:proofErr w:type="spellStart"/>
      <w:r w:rsidRPr="00633707">
        <w:rPr>
          <w:rFonts w:asciiTheme="majorHAnsi" w:hAnsiTheme="majorHAnsi" w:cstheme="majorHAnsi"/>
          <w:i/>
          <w:sz w:val="22"/>
          <w:lang w:eastAsia="en-US"/>
        </w:rPr>
        <w:t>multidose</w:t>
      </w:r>
      <w:proofErr w:type="spellEnd"/>
      <w:r w:rsidRPr="00633707">
        <w:rPr>
          <w:rFonts w:asciiTheme="majorHAnsi" w:hAnsiTheme="majorHAnsi" w:cstheme="majorHAnsi"/>
          <w:i/>
          <w:sz w:val="22"/>
          <w:lang w:eastAsia="en-US"/>
        </w:rPr>
        <w:t>, pilulier hebdomadaire, sachets doses...) sur lequel les mentions figurant sur l’étiquetage apparaissent.</w:t>
      </w:r>
    </w:p>
    <w:p w14:paraId="13A46BF4" w14:textId="77777777" w:rsidR="00ED430F" w:rsidRDefault="00ED430F" w:rsidP="00762B41">
      <w:pPr>
        <w:pStyle w:val="Titre2"/>
        <w:rPr>
          <w:rFonts w:eastAsia="MS Gothic" w:cstheme="majorHAnsi"/>
          <w:b/>
          <w:color w:val="auto"/>
          <w:lang w:eastAsia="en-US"/>
        </w:rPr>
      </w:pPr>
    </w:p>
    <w:p w14:paraId="71485A81" w14:textId="77777777" w:rsidR="00ED430F" w:rsidRDefault="00ED430F">
      <w:pPr>
        <w:rPr>
          <w:rFonts w:asciiTheme="majorHAnsi" w:eastAsia="MS Gothic" w:hAnsiTheme="majorHAnsi" w:cstheme="majorHAnsi"/>
          <w:b/>
          <w:sz w:val="26"/>
          <w:szCs w:val="26"/>
          <w:lang w:eastAsia="en-US"/>
        </w:rPr>
      </w:pPr>
      <w:r>
        <w:rPr>
          <w:rFonts w:eastAsia="MS Gothic" w:cstheme="majorHAnsi"/>
          <w:b/>
          <w:lang w:eastAsia="en-US"/>
        </w:rPr>
        <w:br w:type="page"/>
      </w:r>
    </w:p>
    <w:p w14:paraId="484573A6" w14:textId="25CE2AB0" w:rsidR="00F01F43" w:rsidRPr="00762B41" w:rsidRDefault="00F01F43" w:rsidP="00762B41">
      <w:pPr>
        <w:pStyle w:val="Titre2"/>
        <w:rPr>
          <w:rFonts w:eastAsia="MS Gothic" w:cstheme="majorHAnsi"/>
          <w:b/>
          <w:color w:val="auto"/>
          <w:lang w:eastAsia="en-US"/>
        </w:rPr>
      </w:pPr>
      <w:bookmarkStart w:id="17" w:name="_Toc160615789"/>
      <w:r w:rsidRPr="00762B41">
        <w:rPr>
          <w:rFonts w:eastAsia="MS Gothic" w:cstheme="majorHAnsi"/>
          <w:b/>
          <w:color w:val="auto"/>
          <w:lang w:eastAsia="en-US"/>
        </w:rPr>
        <w:t>Substitution des médicaments</w:t>
      </w:r>
      <w:bookmarkEnd w:id="17"/>
    </w:p>
    <w:p w14:paraId="0CF0448C" w14:textId="4E202B62" w:rsidR="00F01F43" w:rsidRDefault="00F01F43" w:rsidP="00155B3C">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 pharmacien s’engage à </w:t>
      </w:r>
      <w:r w:rsidR="00BA3DBF">
        <w:rPr>
          <w:rFonts w:asciiTheme="majorHAnsi" w:eastAsia="Calibri" w:hAnsiTheme="majorHAnsi" w:cstheme="majorHAnsi"/>
          <w:sz w:val="22"/>
          <w:szCs w:val="22"/>
          <w:lang w:eastAsia="en-US"/>
        </w:rPr>
        <w:t xml:space="preserve">informer en cas de </w:t>
      </w:r>
      <w:r w:rsidRPr="00762B41">
        <w:rPr>
          <w:rFonts w:asciiTheme="majorHAnsi" w:eastAsia="Calibri" w:hAnsiTheme="majorHAnsi" w:cstheme="majorHAnsi"/>
          <w:sz w:val="22"/>
          <w:szCs w:val="22"/>
          <w:lang w:eastAsia="en-US"/>
        </w:rPr>
        <w:t>substitu</w:t>
      </w:r>
      <w:r w:rsidR="00BA3DBF">
        <w:rPr>
          <w:rFonts w:asciiTheme="majorHAnsi" w:eastAsia="Calibri" w:hAnsiTheme="majorHAnsi" w:cstheme="majorHAnsi"/>
          <w:sz w:val="22"/>
          <w:szCs w:val="22"/>
          <w:lang w:eastAsia="en-US"/>
        </w:rPr>
        <w:t>tion de</w:t>
      </w:r>
      <w:r w:rsidRPr="00762B41">
        <w:rPr>
          <w:rFonts w:asciiTheme="majorHAnsi" w:eastAsia="Calibri" w:hAnsiTheme="majorHAnsi" w:cstheme="majorHAnsi"/>
          <w:sz w:val="22"/>
          <w:szCs w:val="22"/>
          <w:lang w:eastAsia="en-US"/>
        </w:rPr>
        <w:t xml:space="preserve"> princeps par des génériques</w:t>
      </w:r>
      <w:r w:rsidR="00BA3DBF">
        <w:rPr>
          <w:rFonts w:asciiTheme="majorHAnsi" w:eastAsia="Calibri" w:hAnsiTheme="majorHAnsi" w:cstheme="majorHAnsi"/>
          <w:sz w:val="22"/>
          <w:szCs w:val="22"/>
          <w:lang w:eastAsia="en-US"/>
        </w:rPr>
        <w:t xml:space="preserve"> et à adapter en conséquence les documents concernés</w:t>
      </w:r>
      <w:r w:rsidRPr="00762B41">
        <w:rPr>
          <w:rFonts w:asciiTheme="majorHAnsi" w:eastAsia="Calibri" w:hAnsiTheme="majorHAnsi" w:cstheme="majorHAnsi"/>
          <w:sz w:val="22"/>
          <w:szCs w:val="22"/>
          <w:lang w:eastAsia="en-US"/>
        </w:rPr>
        <w:t xml:space="preserve">. </w:t>
      </w:r>
    </w:p>
    <w:p w14:paraId="0E9EA363" w14:textId="77777777" w:rsidR="00BA3DBF" w:rsidRPr="00762B41" w:rsidRDefault="00BA3DBF" w:rsidP="00155B3C">
      <w:pPr>
        <w:suppressAutoHyphens/>
        <w:jc w:val="both"/>
        <w:rPr>
          <w:rFonts w:asciiTheme="majorHAnsi" w:eastAsia="Calibri" w:hAnsiTheme="majorHAnsi" w:cstheme="majorHAnsi"/>
          <w:sz w:val="22"/>
          <w:szCs w:val="22"/>
          <w:lang w:eastAsia="en-US"/>
        </w:rPr>
      </w:pPr>
    </w:p>
    <w:p w14:paraId="78827956"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En cas de tension d'approvisionnement sur un médicament ou de changement de marché, si la solution alternative entraîne un changement du nombre/de la forme/de la couleur des comprimés, le pharmacien prévient le médecin, l</w:t>
      </w:r>
      <w:r w:rsidR="009E0815" w:rsidRPr="00762B41">
        <w:rPr>
          <w:rFonts w:asciiTheme="majorHAnsi" w:eastAsia="Calibri" w:hAnsiTheme="majorHAnsi" w:cstheme="majorHAnsi"/>
          <w:sz w:val="22"/>
          <w:szCs w:val="22"/>
          <w:lang w:eastAsia="en-US"/>
        </w:rPr>
        <w:t>’IDE</w:t>
      </w:r>
      <w:r w:rsidRPr="00762B41">
        <w:rPr>
          <w:rFonts w:asciiTheme="majorHAnsi" w:eastAsia="Calibri" w:hAnsiTheme="majorHAnsi" w:cstheme="majorHAnsi"/>
          <w:sz w:val="22"/>
          <w:szCs w:val="22"/>
          <w:lang w:eastAsia="en-US"/>
        </w:rPr>
        <w:t xml:space="preserve"> référent médicament, afin d’échanger sur les conséquences éventuelles de cette substitution pour le résident (trouble du comportement potentiel face à ce changement). Le cas échéant, l'information est transmise au résident et à l'accompagnant. </w:t>
      </w:r>
    </w:p>
    <w:p w14:paraId="4075C736" w14:textId="77777777" w:rsidR="00BA6902" w:rsidRPr="00762B41" w:rsidRDefault="00F01F43"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en collaboration avec le médecin coordonnateur, propose à chaque fois que nécessaire des alternatives galéniques (par exemple en cas de troubles de la déglutition ou encore pour limiter le recours à la forme galénique en gouttes buvables aux situations cliniques</w:t>
      </w:r>
    </w:p>
    <w:p w14:paraId="01683CE9" w14:textId="77777777" w:rsidR="00F01F43" w:rsidRPr="00762B41" w:rsidRDefault="00F01F43" w:rsidP="00762B41">
      <w:pPr>
        <w:pStyle w:val="Titre2"/>
        <w:rPr>
          <w:rFonts w:eastAsia="Calibri" w:cstheme="majorHAnsi"/>
          <w:color w:val="auto"/>
          <w:lang w:eastAsia="en-US"/>
        </w:rPr>
      </w:pPr>
    </w:p>
    <w:p w14:paraId="16F56567" w14:textId="77777777" w:rsidR="00F01F43" w:rsidRPr="00762B41" w:rsidRDefault="00F01F43" w:rsidP="00762B41">
      <w:pPr>
        <w:pStyle w:val="Titre2"/>
        <w:rPr>
          <w:rFonts w:eastAsia="Calibri" w:cstheme="majorHAnsi"/>
          <w:b/>
          <w:color w:val="auto"/>
          <w:lang w:eastAsia="en-US"/>
        </w:rPr>
      </w:pPr>
      <w:bookmarkStart w:id="18" w:name="_Toc160615790"/>
      <w:r w:rsidRPr="00762B41">
        <w:rPr>
          <w:rFonts w:eastAsia="Calibri" w:cstheme="majorHAnsi"/>
          <w:b/>
          <w:color w:val="auto"/>
          <w:lang w:eastAsia="en-US"/>
        </w:rPr>
        <w:t>Quantité de médicaments délivrés :</w:t>
      </w:r>
      <w:bookmarkEnd w:id="18"/>
    </w:p>
    <w:p w14:paraId="5F3FE115"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Pour les renouvellements des prescriptions conditionnelles en « si besoin », les infirmiers indiquent « ne pas délivrer » ou « </w:t>
      </w:r>
      <w:r w:rsidR="0077225B" w:rsidRPr="00762B41">
        <w:rPr>
          <w:rFonts w:asciiTheme="majorHAnsi" w:eastAsia="Calibri" w:hAnsiTheme="majorHAnsi" w:cstheme="majorHAnsi"/>
          <w:sz w:val="22"/>
          <w:szCs w:val="22"/>
          <w:lang w:eastAsia="en-US"/>
        </w:rPr>
        <w:t xml:space="preserve">NPD </w:t>
      </w:r>
      <w:r w:rsidRPr="00762B41">
        <w:rPr>
          <w:rFonts w:asciiTheme="majorHAnsi" w:eastAsia="Calibri" w:hAnsiTheme="majorHAnsi" w:cstheme="majorHAnsi"/>
          <w:sz w:val="22"/>
          <w:szCs w:val="22"/>
          <w:lang w:eastAsia="en-US"/>
        </w:rPr>
        <w:t>» lorsqu’il reste assez de médicament dans le casier nominatif du résident.</w:t>
      </w:r>
    </w:p>
    <w:p w14:paraId="30AABE9B"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215F058B" w14:textId="77777777" w:rsidR="00F01F43" w:rsidRPr="00762B41" w:rsidRDefault="00F01F43" w:rsidP="00762B41">
      <w:pPr>
        <w:pStyle w:val="Titre2"/>
        <w:rPr>
          <w:rFonts w:cstheme="majorHAnsi"/>
          <w:b/>
          <w:color w:val="auto"/>
        </w:rPr>
      </w:pPr>
      <w:bookmarkStart w:id="19" w:name="_Toc160615791"/>
      <w:r w:rsidRPr="00762B41">
        <w:rPr>
          <w:rFonts w:cstheme="majorHAnsi"/>
          <w:b/>
          <w:color w:val="auto"/>
        </w:rPr>
        <w:t>Modalités de livraison et de transport</w:t>
      </w:r>
      <w:bookmarkEnd w:id="19"/>
    </w:p>
    <w:p w14:paraId="5564790A" w14:textId="77777777" w:rsidR="00F01F43" w:rsidRPr="00762B41" w:rsidRDefault="00F01F43" w:rsidP="00762B41">
      <w:pPr>
        <w:widowControl w:val="0"/>
        <w:suppressAutoHyphens/>
        <w:spacing w:after="120"/>
        <w:ind w:right="153"/>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mode de livraison doit garantir la confidentialité, le respect des règles d’hygiène, la bonne conservation des médicaments et leur sécurité (protection contre le vol ou la dégradation).</w:t>
      </w:r>
    </w:p>
    <w:p w14:paraId="0A8462C8" w14:textId="77777777" w:rsidR="00F01F43" w:rsidRPr="00762B41" w:rsidRDefault="00F01F43" w:rsidP="00762B41">
      <w:pPr>
        <w:widowControl w:val="0"/>
        <w:suppressAutoHyphens/>
        <w:spacing w:after="120"/>
        <w:ind w:right="153"/>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Les médicaments thermosensibles doivent être transportés dans du matériel adapté permettant de maintenir la température (entre + 2 °C et + 8 °C).</w:t>
      </w:r>
    </w:p>
    <w:p w14:paraId="13CE4696" w14:textId="05AF3D04"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transport se fait dans des contenants protégeant les sachets/piluliers nominatifs de toute dégradation et de façon sécurisée (contenant scellé par exemple</w:t>
      </w:r>
      <w:r w:rsidR="00092338">
        <w:rPr>
          <w:rFonts w:asciiTheme="majorHAnsi" w:eastAsia="Calibri" w:hAnsiTheme="majorHAnsi" w:cstheme="majorHAnsi"/>
          <w:sz w:val="22"/>
          <w:szCs w:val="22"/>
          <w:lang w:eastAsia="en-US"/>
        </w:rPr>
        <w:t xml:space="preserve"> à préciser dans l</w:t>
      </w:r>
      <w:r w:rsidR="0020150B">
        <w:rPr>
          <w:rFonts w:asciiTheme="majorHAnsi" w:eastAsia="Calibri" w:hAnsiTheme="majorHAnsi" w:cstheme="majorHAnsi"/>
          <w:sz w:val="22"/>
          <w:szCs w:val="22"/>
          <w:lang w:eastAsia="en-US"/>
        </w:rPr>
        <w:t xml:space="preserve">a </w:t>
      </w:r>
      <w:r w:rsidR="00092338">
        <w:rPr>
          <w:rFonts w:asciiTheme="majorHAnsi" w:eastAsia="Calibri" w:hAnsiTheme="majorHAnsi" w:cstheme="majorHAnsi"/>
          <w:sz w:val="22"/>
          <w:szCs w:val="22"/>
          <w:lang w:eastAsia="en-US"/>
        </w:rPr>
        <w:t>p</w:t>
      </w:r>
      <w:r w:rsidR="003C2079">
        <w:rPr>
          <w:rFonts w:asciiTheme="majorHAnsi" w:eastAsia="Calibri" w:hAnsiTheme="majorHAnsi" w:cstheme="majorHAnsi"/>
          <w:sz w:val="22"/>
          <w:szCs w:val="22"/>
          <w:lang w:eastAsia="en-US"/>
        </w:rPr>
        <w:t>résente convention</w:t>
      </w:r>
      <w:r w:rsidRPr="00762B41">
        <w:rPr>
          <w:rFonts w:asciiTheme="majorHAnsi" w:eastAsia="Calibri" w:hAnsiTheme="majorHAnsi" w:cstheme="majorHAnsi"/>
          <w:sz w:val="22"/>
          <w:szCs w:val="22"/>
          <w:lang w:eastAsia="en-US"/>
        </w:rPr>
        <w:t>).</w:t>
      </w:r>
    </w:p>
    <w:p w14:paraId="6B76973F" w14:textId="0BB2077D"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Les médicaments sont transportés par le pharmacien ou par le personnel délégué du pharmacien et remis contre un bon de livraison émargé. La livraison pourra être sous-traitée sous réserve du respect de la réglementation en vigueur. Un document de traçabilité (« fiche navette ») est joint avec la livraison. </w:t>
      </w:r>
    </w:p>
    <w:p w14:paraId="3F9532EA"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livraison doit se faire aux horaires de présence des IDE.</w:t>
      </w:r>
    </w:p>
    <w:p w14:paraId="59CF0B8E" w14:textId="091C8121" w:rsidR="00F01F43" w:rsidRPr="009E3942" w:rsidRDefault="00F01F43" w:rsidP="009E3942">
      <w:pPr>
        <w:suppressAutoHyphens/>
        <w:spacing w:after="120"/>
        <w:jc w:val="both"/>
        <w:rPr>
          <w:rFonts w:asciiTheme="majorHAnsi" w:eastAsia="Calibri" w:hAnsiTheme="majorHAnsi" w:cstheme="majorHAnsi"/>
          <w:sz w:val="22"/>
          <w:szCs w:val="22"/>
          <w:lang w:eastAsia="en-US"/>
        </w:rPr>
      </w:pPr>
      <w:r w:rsidRPr="009E3942">
        <w:rPr>
          <w:rFonts w:asciiTheme="majorHAnsi" w:eastAsia="Calibri" w:hAnsiTheme="majorHAnsi" w:cstheme="majorHAnsi"/>
          <w:sz w:val="22"/>
          <w:szCs w:val="22"/>
          <w:lang w:eastAsia="en-US"/>
        </w:rPr>
        <w:t>Le jour et le créneau horaire seront définis conjointement entre l’</w:t>
      </w:r>
      <w:r w:rsidR="00887929">
        <w:rPr>
          <w:rFonts w:asciiTheme="majorHAnsi" w:eastAsia="Calibri" w:hAnsiTheme="majorHAnsi" w:cstheme="majorHAnsi"/>
          <w:sz w:val="22"/>
          <w:szCs w:val="22"/>
          <w:lang w:eastAsia="en-US"/>
        </w:rPr>
        <w:t>ESSMS PH</w:t>
      </w:r>
      <w:r w:rsidRPr="009E3942">
        <w:rPr>
          <w:rFonts w:asciiTheme="majorHAnsi" w:eastAsia="Calibri" w:hAnsiTheme="majorHAnsi" w:cstheme="majorHAnsi"/>
          <w:sz w:val="22"/>
          <w:szCs w:val="22"/>
          <w:lang w:eastAsia="en-US"/>
        </w:rPr>
        <w:t xml:space="preserve"> et l’officine (à préciser dans la présente</w:t>
      </w:r>
      <w:r w:rsidR="0091008D" w:rsidRPr="009E3942">
        <w:rPr>
          <w:rFonts w:asciiTheme="majorHAnsi" w:eastAsia="Calibri" w:hAnsiTheme="majorHAnsi" w:cstheme="majorHAnsi"/>
          <w:sz w:val="22"/>
          <w:szCs w:val="22"/>
          <w:lang w:eastAsia="en-US"/>
        </w:rPr>
        <w:t xml:space="preserve"> convention)</w:t>
      </w:r>
    </w:p>
    <w:p w14:paraId="76FB2A8A" w14:textId="77777777" w:rsidR="00F01F43" w:rsidRPr="009E3942" w:rsidRDefault="00F01F43" w:rsidP="009E3942">
      <w:pPr>
        <w:suppressAutoHyphens/>
        <w:spacing w:after="120"/>
        <w:jc w:val="both"/>
        <w:rPr>
          <w:rFonts w:asciiTheme="majorHAnsi" w:eastAsia="Calibri" w:hAnsiTheme="majorHAnsi" w:cstheme="majorHAnsi"/>
          <w:sz w:val="22"/>
          <w:szCs w:val="22"/>
          <w:lang w:eastAsia="en-US"/>
        </w:rPr>
      </w:pPr>
    </w:p>
    <w:p w14:paraId="1C9BD5D0" w14:textId="0CEB933A" w:rsidR="00F01F43" w:rsidRPr="00762B41" w:rsidRDefault="00F01F43" w:rsidP="00762B41">
      <w:pPr>
        <w:pStyle w:val="Titre2"/>
        <w:rPr>
          <w:rFonts w:eastAsia="MS Gothic" w:cstheme="majorHAnsi"/>
          <w:b/>
          <w:color w:val="auto"/>
          <w:lang w:eastAsia="en-US"/>
        </w:rPr>
      </w:pPr>
      <w:bookmarkStart w:id="20" w:name="_Toc160615792"/>
      <w:r w:rsidRPr="00762B41">
        <w:rPr>
          <w:rFonts w:eastAsia="MS Gothic" w:cstheme="majorHAnsi"/>
          <w:b/>
          <w:color w:val="auto"/>
          <w:lang w:eastAsia="en-US"/>
        </w:rPr>
        <w:t>Réception et stockage dans l’</w:t>
      </w:r>
      <w:r w:rsidR="00887929">
        <w:rPr>
          <w:rFonts w:eastAsia="MS Gothic" w:cstheme="majorHAnsi"/>
          <w:b/>
          <w:color w:val="auto"/>
          <w:lang w:eastAsia="en-US"/>
        </w:rPr>
        <w:t>ESSMS PH</w:t>
      </w:r>
      <w:bookmarkEnd w:id="20"/>
      <w:r w:rsidRPr="00762B41">
        <w:rPr>
          <w:rFonts w:eastAsia="MS Gothic" w:cstheme="majorHAnsi"/>
          <w:b/>
          <w:color w:val="auto"/>
          <w:lang w:eastAsia="en-US"/>
        </w:rPr>
        <w:t xml:space="preserve"> </w:t>
      </w:r>
    </w:p>
    <w:p w14:paraId="216652C6" w14:textId="3996798C"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disposer d’un local réservé fermé à clé destiné à la réception et au rangement des médicaments préparés</w:t>
      </w:r>
      <w:r w:rsidR="009E0815" w:rsidRPr="00762B41">
        <w:rPr>
          <w:rFonts w:asciiTheme="majorHAnsi" w:eastAsia="Calibri" w:hAnsiTheme="majorHAnsi" w:cstheme="majorHAnsi"/>
          <w:sz w:val="22"/>
          <w:szCs w:val="22"/>
          <w:lang w:eastAsia="en-US"/>
        </w:rPr>
        <w:t>, accessible aux seuls médecins, infirmiers sous la seule responsabilité de l’</w:t>
      </w:r>
      <w:r w:rsidR="00887929">
        <w:rPr>
          <w:rFonts w:asciiTheme="majorHAnsi" w:eastAsia="Calibri" w:hAnsiTheme="majorHAnsi" w:cstheme="majorHAnsi"/>
          <w:sz w:val="22"/>
          <w:szCs w:val="22"/>
          <w:lang w:eastAsia="en-US"/>
        </w:rPr>
        <w:t>ESSMS PH</w:t>
      </w:r>
      <w:r w:rsidR="009E0815" w:rsidRPr="00762B41">
        <w:rPr>
          <w:rFonts w:asciiTheme="majorHAnsi" w:eastAsia="Calibri" w:hAnsiTheme="majorHAnsi" w:cstheme="majorHAnsi"/>
          <w:sz w:val="22"/>
          <w:szCs w:val="22"/>
          <w:lang w:eastAsia="en-US"/>
        </w:rPr>
        <w:t xml:space="preserve"> (conformément à l’article R.4312-39 du CSP) et </w:t>
      </w:r>
      <w:r w:rsidRPr="00762B41">
        <w:rPr>
          <w:rFonts w:asciiTheme="majorHAnsi" w:eastAsia="Calibri" w:hAnsiTheme="majorHAnsi" w:cstheme="majorHAnsi"/>
          <w:sz w:val="22"/>
          <w:szCs w:val="22"/>
          <w:lang w:eastAsia="en-US"/>
        </w:rPr>
        <w:t xml:space="preserve">permettant d’assurer leur </w:t>
      </w:r>
      <w:r w:rsidR="009E0815" w:rsidRPr="00762B41">
        <w:rPr>
          <w:rFonts w:asciiTheme="majorHAnsi" w:eastAsia="Calibri" w:hAnsiTheme="majorHAnsi" w:cstheme="majorHAnsi"/>
          <w:sz w:val="22"/>
          <w:szCs w:val="22"/>
          <w:lang w:eastAsia="en-US"/>
        </w:rPr>
        <w:t xml:space="preserve">bonne </w:t>
      </w:r>
      <w:r w:rsidRPr="00762B41">
        <w:rPr>
          <w:rFonts w:asciiTheme="majorHAnsi" w:eastAsia="Calibri" w:hAnsiTheme="majorHAnsi" w:cstheme="majorHAnsi"/>
          <w:sz w:val="22"/>
          <w:szCs w:val="22"/>
          <w:lang w:eastAsia="en-US"/>
        </w:rPr>
        <w:t xml:space="preserve">conservation </w:t>
      </w:r>
      <w:r w:rsidR="009E0815" w:rsidRPr="00762B41">
        <w:rPr>
          <w:rFonts w:asciiTheme="majorHAnsi" w:eastAsia="Calibri" w:hAnsiTheme="majorHAnsi" w:cstheme="majorHAnsi"/>
          <w:sz w:val="22"/>
          <w:szCs w:val="22"/>
          <w:lang w:eastAsia="en-US"/>
        </w:rPr>
        <w:t>et leur sécurité.</w:t>
      </w:r>
    </w:p>
    <w:p w14:paraId="6D8230F9" w14:textId="5D48B939"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Pour les médicaments stupéfiants, ils sont remis en main propre à l’IDE de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dans un contenant fermé avec précision faite (dans le contenant) des médicaments en son sein, à l’unité de prise près.</w:t>
      </w:r>
    </w:p>
    <w:p w14:paraId="369D9F64" w14:textId="41FA0584"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Dès la réception des traitements, un contrôle qualitatif et quantitatif par un IDE est réalisé et tracé. Tout contenant endommagé, ouvert ou toute non-conformité observée à l’issu du contrôle qualitatif et quantitatif du contenu de la livraison devra être signalé dès réception par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et tracé (sur une fiche navette ou autre fiche de non-conformités à conserver à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et </w:t>
      </w:r>
      <w:r w:rsidR="006D5AC2" w:rsidRPr="00762B41">
        <w:rPr>
          <w:rFonts w:asciiTheme="majorHAnsi" w:eastAsia="Calibri" w:hAnsiTheme="majorHAnsi" w:cstheme="majorHAnsi"/>
          <w:sz w:val="22"/>
          <w:szCs w:val="22"/>
          <w:lang w:eastAsia="en-US"/>
        </w:rPr>
        <w:t xml:space="preserve">à </w:t>
      </w:r>
      <w:r w:rsidRPr="00762B41">
        <w:rPr>
          <w:rFonts w:asciiTheme="majorHAnsi" w:eastAsia="Calibri" w:hAnsiTheme="majorHAnsi" w:cstheme="majorHAnsi"/>
          <w:sz w:val="22"/>
          <w:szCs w:val="22"/>
          <w:lang w:eastAsia="en-US"/>
        </w:rPr>
        <w:t>transmettre au pharmacien).</w:t>
      </w:r>
    </w:p>
    <w:p w14:paraId="57F89E90" w14:textId="77777777" w:rsidR="000A1FC2" w:rsidRPr="00762B41" w:rsidRDefault="00F01F43"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Dans un délai approprié, les médicaments sont ensuite stockés selon leur condition de conservation et au sein d’équipement</w:t>
      </w:r>
      <w:r w:rsidR="000A1FC2" w:rsidRPr="00762B41">
        <w:rPr>
          <w:rFonts w:asciiTheme="majorHAnsi" w:eastAsia="Calibri" w:hAnsiTheme="majorHAnsi" w:cstheme="majorHAnsi"/>
          <w:sz w:val="22"/>
          <w:szCs w:val="22"/>
          <w:lang w:eastAsia="en-US"/>
        </w:rPr>
        <w:t xml:space="preserve">s sécurisés, adaptés et dédiés. </w:t>
      </w:r>
    </w:p>
    <w:p w14:paraId="77E7CEFA" w14:textId="77777777" w:rsidR="000A1FC2" w:rsidRPr="00762B41" w:rsidRDefault="000A1FC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w:t>
      </w:r>
      <w:r w:rsidR="00F01F43" w:rsidRPr="00762B41">
        <w:rPr>
          <w:rFonts w:asciiTheme="majorHAnsi" w:eastAsia="Calibri" w:hAnsiTheme="majorHAnsi" w:cstheme="majorHAnsi"/>
          <w:sz w:val="22"/>
          <w:szCs w:val="22"/>
          <w:lang w:eastAsia="en-US"/>
        </w:rPr>
        <w:t>n particulier</w:t>
      </w:r>
      <w:r w:rsidRPr="00762B41">
        <w:rPr>
          <w:rFonts w:asciiTheme="majorHAnsi" w:eastAsia="Calibri" w:hAnsiTheme="majorHAnsi" w:cstheme="majorHAnsi"/>
          <w:sz w:val="22"/>
          <w:szCs w:val="22"/>
          <w:lang w:eastAsia="en-US"/>
        </w:rPr>
        <w:t> :</w:t>
      </w:r>
    </w:p>
    <w:p w14:paraId="12FC56C4" w14:textId="77777777" w:rsidR="000A1FC2" w:rsidRPr="00762B41" w:rsidRDefault="000A1FC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w:t>
      </w:r>
      <w:r w:rsidR="00F01F43" w:rsidRPr="00762B41">
        <w:rPr>
          <w:rFonts w:asciiTheme="majorHAnsi" w:eastAsia="Calibri" w:hAnsiTheme="majorHAnsi" w:cstheme="majorHAnsi"/>
          <w:sz w:val="22"/>
          <w:szCs w:val="22"/>
          <w:lang w:eastAsia="en-US"/>
        </w:rPr>
        <w:t xml:space="preserve"> les médicaments thermosensibles sont stockés </w:t>
      </w:r>
      <w:r w:rsidRPr="00762B41">
        <w:rPr>
          <w:rFonts w:asciiTheme="majorHAnsi" w:eastAsia="Calibri" w:hAnsiTheme="majorHAnsi" w:cstheme="majorHAnsi"/>
          <w:sz w:val="22"/>
          <w:szCs w:val="22"/>
          <w:lang w:eastAsia="en-US"/>
        </w:rPr>
        <w:t xml:space="preserve">au réfrigérateur </w:t>
      </w:r>
      <w:r w:rsidR="00F01F43" w:rsidRPr="00762B41">
        <w:rPr>
          <w:rFonts w:asciiTheme="majorHAnsi" w:eastAsia="Calibri" w:hAnsiTheme="majorHAnsi" w:cstheme="majorHAnsi"/>
          <w:sz w:val="22"/>
          <w:szCs w:val="22"/>
          <w:lang w:eastAsia="en-US"/>
        </w:rPr>
        <w:t>dès leur arrivée</w:t>
      </w:r>
      <w:r w:rsidRPr="00762B41">
        <w:rPr>
          <w:rFonts w:asciiTheme="majorHAnsi" w:eastAsia="Calibri" w:hAnsiTheme="majorHAnsi" w:cstheme="majorHAnsi"/>
          <w:sz w:val="22"/>
          <w:szCs w:val="22"/>
          <w:lang w:eastAsia="en-US"/>
        </w:rPr>
        <w:t>,</w:t>
      </w:r>
      <w:r w:rsidR="00F01F43" w:rsidRPr="00762B41">
        <w:rPr>
          <w:rFonts w:asciiTheme="majorHAnsi" w:eastAsia="Calibri" w:hAnsiTheme="majorHAnsi" w:cstheme="majorHAnsi"/>
          <w:sz w:val="22"/>
          <w:szCs w:val="22"/>
          <w:lang w:eastAsia="en-US"/>
        </w:rPr>
        <w:t xml:space="preserve"> </w:t>
      </w:r>
    </w:p>
    <w:p w14:paraId="7599601C" w14:textId="77777777" w:rsidR="00F01F43" w:rsidRPr="00762B41" w:rsidRDefault="000A1FC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w:t>
      </w:r>
      <w:r w:rsidR="00F01F43" w:rsidRPr="00762B41">
        <w:rPr>
          <w:rFonts w:asciiTheme="majorHAnsi" w:eastAsia="Calibri" w:hAnsiTheme="majorHAnsi" w:cstheme="majorHAnsi"/>
          <w:sz w:val="22"/>
          <w:szCs w:val="22"/>
          <w:lang w:eastAsia="en-US"/>
        </w:rPr>
        <w:t xml:space="preserve"> les stupéfiants </w:t>
      </w:r>
      <w:r w:rsidR="0091008D" w:rsidRPr="00762B41">
        <w:rPr>
          <w:rFonts w:asciiTheme="majorHAnsi" w:eastAsia="Calibri" w:hAnsiTheme="majorHAnsi" w:cstheme="majorHAnsi"/>
          <w:sz w:val="22"/>
          <w:szCs w:val="22"/>
          <w:lang w:eastAsia="en-US"/>
        </w:rPr>
        <w:t>immédiatement</w:t>
      </w:r>
      <w:r w:rsidR="00F01F43" w:rsidRPr="00762B41">
        <w:rPr>
          <w:rFonts w:asciiTheme="majorHAnsi" w:eastAsia="Calibri" w:hAnsiTheme="majorHAnsi" w:cstheme="majorHAnsi"/>
          <w:sz w:val="22"/>
          <w:szCs w:val="22"/>
          <w:lang w:eastAsia="en-US"/>
        </w:rPr>
        <w:t xml:space="preserve"> dans le coffre.</w:t>
      </w:r>
    </w:p>
    <w:p w14:paraId="18091A3F" w14:textId="77777777" w:rsidR="000A1FC2" w:rsidRPr="00762B41" w:rsidRDefault="000A1FC2" w:rsidP="00762B41">
      <w:pPr>
        <w:suppressAutoHyphens/>
        <w:jc w:val="both"/>
        <w:rPr>
          <w:rFonts w:asciiTheme="majorHAnsi" w:eastAsia="Calibri" w:hAnsiTheme="majorHAnsi" w:cstheme="majorHAnsi"/>
          <w:sz w:val="22"/>
          <w:szCs w:val="22"/>
          <w:lang w:eastAsia="en-US"/>
        </w:rPr>
      </w:pPr>
    </w:p>
    <w:p w14:paraId="304090F8" w14:textId="77777777" w:rsidR="0091008D" w:rsidRPr="00762B41" w:rsidRDefault="0091008D" w:rsidP="00762B41">
      <w:pPr>
        <w:pStyle w:val="Titre2"/>
        <w:rPr>
          <w:rFonts w:eastAsia="Calibri" w:cstheme="majorHAnsi"/>
          <w:b/>
          <w:color w:val="auto"/>
          <w:lang w:eastAsia="en-US"/>
        </w:rPr>
      </w:pPr>
      <w:bookmarkStart w:id="21" w:name="_Toc160615793"/>
      <w:r w:rsidRPr="00762B41">
        <w:rPr>
          <w:rFonts w:eastAsia="Calibri" w:cstheme="majorHAnsi"/>
          <w:b/>
          <w:color w:val="auto"/>
          <w:lang w:eastAsia="en-US"/>
        </w:rPr>
        <w:t>Traitement des non-conformités de PDA</w:t>
      </w:r>
      <w:bookmarkEnd w:id="21"/>
    </w:p>
    <w:p w14:paraId="380648C5" w14:textId="661E260D" w:rsidR="00F01F43" w:rsidRPr="00762B41" w:rsidRDefault="0091008D"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s’assure de la mise en œuvre d’un système permettant le signalement (fiche de non-conformités), le traitement des non-conformités ou réclamations et, si nécessaire, le rappel des préparations concernées. Les non-conformités et réclamations sont examinées et les mesures correctives appropriées mise</w:t>
      </w:r>
      <w:r w:rsidR="006D5AC2" w:rsidRPr="00762B41">
        <w:rPr>
          <w:rFonts w:asciiTheme="majorHAnsi" w:eastAsia="Calibri" w:hAnsiTheme="majorHAnsi" w:cstheme="majorHAnsi"/>
          <w:sz w:val="22"/>
          <w:szCs w:val="22"/>
          <w:lang w:eastAsia="en-US"/>
        </w:rPr>
        <w:t>s</w:t>
      </w:r>
      <w:r w:rsidRPr="00762B41">
        <w:rPr>
          <w:rFonts w:asciiTheme="majorHAnsi" w:eastAsia="Calibri" w:hAnsiTheme="majorHAnsi" w:cstheme="majorHAnsi"/>
          <w:sz w:val="22"/>
          <w:szCs w:val="22"/>
          <w:lang w:eastAsia="en-US"/>
        </w:rPr>
        <w:t xml:space="preserve"> en place en collaboration avec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L’ensemble de ces éléments est enregistré́</w:t>
      </w:r>
      <w:r w:rsidR="000A1FC2" w:rsidRPr="00762B41">
        <w:rPr>
          <w:rFonts w:asciiTheme="majorHAnsi" w:eastAsia="Calibri" w:hAnsiTheme="majorHAnsi" w:cstheme="majorHAnsi"/>
          <w:sz w:val="22"/>
          <w:szCs w:val="22"/>
          <w:lang w:eastAsia="en-US"/>
        </w:rPr>
        <w:t>.</w:t>
      </w:r>
    </w:p>
    <w:p w14:paraId="64227CC4"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p>
    <w:p w14:paraId="1A1944D2" w14:textId="77777777" w:rsidR="0091008D" w:rsidRPr="00762B41" w:rsidRDefault="0091008D" w:rsidP="00762B41">
      <w:pPr>
        <w:pStyle w:val="Titre2"/>
        <w:rPr>
          <w:rFonts w:eastAsia="MS Gothic" w:cstheme="majorHAnsi"/>
          <w:b/>
          <w:color w:val="auto"/>
          <w:lang w:eastAsia="en-US"/>
        </w:rPr>
      </w:pPr>
      <w:bookmarkStart w:id="22" w:name="_Toc160615794"/>
      <w:r w:rsidRPr="00762B41">
        <w:rPr>
          <w:rFonts w:eastAsia="MS Gothic" w:cstheme="majorHAnsi"/>
          <w:b/>
          <w:color w:val="auto"/>
          <w:lang w:eastAsia="en-US"/>
        </w:rPr>
        <w:t>Retour des médicaments</w:t>
      </w:r>
      <w:bookmarkEnd w:id="22"/>
      <w:r w:rsidRPr="00762B41">
        <w:rPr>
          <w:rFonts w:eastAsia="MS Gothic" w:cstheme="majorHAnsi"/>
          <w:b/>
          <w:color w:val="auto"/>
          <w:lang w:eastAsia="en-US"/>
        </w:rPr>
        <w:t xml:space="preserve"> </w:t>
      </w:r>
    </w:p>
    <w:p w14:paraId="5671E90E"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Les médicaments périmés et/ou non utilisés et/ou concernés par une alerte sanitaire faisant l’objet d’un retrait sont stockés dans des cartons mis à disposition et repris par l’officine en vue de leur élimination. </w:t>
      </w:r>
    </w:p>
    <w:p w14:paraId="6B06A3D6"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p>
    <w:p w14:paraId="78C83C34" w14:textId="77777777" w:rsidR="0091008D" w:rsidRPr="00762B41" w:rsidRDefault="00671E29" w:rsidP="00633707">
      <w:pPr>
        <w:pStyle w:val="Titre1"/>
      </w:pPr>
      <w:bookmarkStart w:id="23" w:name="_Toc160615795"/>
      <w:r w:rsidRPr="00762B41">
        <w:t xml:space="preserve">Article 6. </w:t>
      </w:r>
      <w:r w:rsidR="0091008D" w:rsidRPr="00762B41">
        <w:t>Gestion des alertes sanitaires</w:t>
      </w:r>
      <w:bookmarkEnd w:id="23"/>
    </w:p>
    <w:p w14:paraId="34BA93A6" w14:textId="77777777" w:rsidR="00FF71DD" w:rsidRPr="00762B41" w:rsidRDefault="00FF71DD" w:rsidP="00762B41">
      <w:pPr>
        <w:rPr>
          <w:rFonts w:asciiTheme="majorHAnsi" w:hAnsiTheme="majorHAnsi" w:cstheme="majorHAnsi"/>
        </w:rPr>
      </w:pPr>
    </w:p>
    <w:p w14:paraId="74BF0B69" w14:textId="13735D38" w:rsidR="0091008D" w:rsidRPr="0009217A" w:rsidRDefault="0091008D" w:rsidP="0009217A">
      <w:pPr>
        <w:suppressAutoHyphens/>
        <w:spacing w:after="120"/>
        <w:jc w:val="both"/>
        <w:rPr>
          <w:rFonts w:asciiTheme="majorHAnsi" w:eastAsia="Calibri" w:hAnsiTheme="majorHAnsi" w:cstheme="majorHAnsi"/>
          <w:sz w:val="22"/>
          <w:szCs w:val="22"/>
          <w:lang w:eastAsia="en-US"/>
        </w:rPr>
      </w:pPr>
      <w:r w:rsidRPr="0009217A">
        <w:rPr>
          <w:rFonts w:asciiTheme="majorHAnsi" w:eastAsia="Calibri" w:hAnsiTheme="majorHAnsi" w:cstheme="majorHAnsi"/>
          <w:sz w:val="22"/>
          <w:szCs w:val="22"/>
          <w:lang w:eastAsia="en-US"/>
        </w:rPr>
        <w:t>Le pharmacien s’engage à analyser les alertes sanitaires pour le compte de l’</w:t>
      </w:r>
      <w:r w:rsidR="00887929">
        <w:rPr>
          <w:rFonts w:asciiTheme="majorHAnsi" w:eastAsia="Calibri" w:hAnsiTheme="majorHAnsi" w:cstheme="majorHAnsi"/>
          <w:sz w:val="22"/>
          <w:szCs w:val="22"/>
          <w:lang w:eastAsia="en-US"/>
        </w:rPr>
        <w:t>ESSMS PH</w:t>
      </w:r>
      <w:r w:rsidRPr="0009217A">
        <w:rPr>
          <w:rFonts w:asciiTheme="majorHAnsi" w:eastAsia="Calibri" w:hAnsiTheme="majorHAnsi" w:cstheme="majorHAnsi"/>
          <w:sz w:val="22"/>
          <w:szCs w:val="22"/>
          <w:lang w:eastAsia="en-US"/>
        </w:rPr>
        <w:t xml:space="preserve"> : retraits de lots de médicaments ou de </w:t>
      </w:r>
      <w:r w:rsidR="00773EB7" w:rsidRPr="0009217A">
        <w:rPr>
          <w:rFonts w:asciiTheme="majorHAnsi" w:eastAsia="Calibri" w:hAnsiTheme="majorHAnsi" w:cstheme="majorHAnsi"/>
          <w:sz w:val="22"/>
          <w:szCs w:val="22"/>
          <w:lang w:eastAsia="en-US"/>
        </w:rPr>
        <w:t>dispositifs médicaux</w:t>
      </w:r>
      <w:r w:rsidRPr="0009217A">
        <w:rPr>
          <w:rFonts w:asciiTheme="majorHAnsi" w:eastAsia="Calibri" w:hAnsiTheme="majorHAnsi" w:cstheme="majorHAnsi"/>
          <w:sz w:val="22"/>
          <w:szCs w:val="22"/>
          <w:lang w:eastAsia="en-US"/>
        </w:rPr>
        <w:t xml:space="preserve"> notamment. Si des résidents de la structure sont concernés, il transmet l’information ainsi que la conduite à tenir au médecin c</w:t>
      </w:r>
      <w:r w:rsidR="009E0815" w:rsidRPr="0009217A">
        <w:rPr>
          <w:rFonts w:asciiTheme="majorHAnsi" w:eastAsia="Calibri" w:hAnsiTheme="majorHAnsi" w:cstheme="majorHAnsi"/>
          <w:sz w:val="22"/>
          <w:szCs w:val="22"/>
          <w:lang w:eastAsia="en-US"/>
        </w:rPr>
        <w:t>oordonnateur de la structure, à l’IDE</w:t>
      </w:r>
      <w:r w:rsidRPr="0009217A">
        <w:rPr>
          <w:rFonts w:asciiTheme="majorHAnsi" w:eastAsia="Calibri" w:hAnsiTheme="majorHAnsi" w:cstheme="majorHAnsi"/>
          <w:sz w:val="22"/>
          <w:szCs w:val="22"/>
          <w:lang w:eastAsia="en-US"/>
        </w:rPr>
        <w:t xml:space="preserve"> référent médicament désigné au sein de l’</w:t>
      </w:r>
      <w:r w:rsidR="00887929">
        <w:rPr>
          <w:rFonts w:asciiTheme="majorHAnsi" w:eastAsia="Calibri" w:hAnsiTheme="majorHAnsi" w:cstheme="majorHAnsi"/>
          <w:sz w:val="22"/>
          <w:szCs w:val="22"/>
          <w:lang w:eastAsia="en-US"/>
        </w:rPr>
        <w:t>ESSMS PH</w:t>
      </w:r>
      <w:r w:rsidRPr="0009217A">
        <w:rPr>
          <w:rFonts w:asciiTheme="majorHAnsi" w:eastAsia="Calibri" w:hAnsiTheme="majorHAnsi" w:cstheme="majorHAnsi"/>
          <w:sz w:val="22"/>
          <w:szCs w:val="22"/>
          <w:lang w:eastAsia="en-US"/>
        </w:rPr>
        <w:t xml:space="preserve"> et à l’équipe soignante en son absence, dans les meilleurs délais.</w:t>
      </w:r>
    </w:p>
    <w:p w14:paraId="6025BF9E" w14:textId="77777777" w:rsidR="0091008D" w:rsidRPr="00762B41" w:rsidRDefault="0091008D" w:rsidP="00762B41">
      <w:pPr>
        <w:rPr>
          <w:rFonts w:asciiTheme="majorHAnsi" w:hAnsiTheme="majorHAnsi" w:cstheme="majorHAnsi"/>
        </w:rPr>
      </w:pPr>
    </w:p>
    <w:p w14:paraId="2334EFA2" w14:textId="77777777" w:rsidR="0091008D" w:rsidRPr="00762B41" w:rsidRDefault="0091008D" w:rsidP="00762B41">
      <w:pPr>
        <w:rPr>
          <w:rFonts w:asciiTheme="majorHAnsi" w:hAnsiTheme="majorHAnsi" w:cstheme="majorHAnsi"/>
        </w:rPr>
      </w:pPr>
    </w:p>
    <w:p w14:paraId="40D9EE85" w14:textId="5FA99423" w:rsidR="0091008D" w:rsidRPr="00762B41" w:rsidRDefault="00671E29" w:rsidP="00633707">
      <w:pPr>
        <w:pStyle w:val="Titre1"/>
      </w:pPr>
      <w:bookmarkStart w:id="24" w:name="_Toc160615796"/>
      <w:r w:rsidRPr="00762B41">
        <w:t xml:space="preserve">Article 7. </w:t>
      </w:r>
      <w:r w:rsidR="000A1FC2" w:rsidRPr="00762B41">
        <w:t>Infirmier</w:t>
      </w:r>
      <w:r w:rsidR="0091008D" w:rsidRPr="00762B41">
        <w:t xml:space="preserve"> « référent médicament » de l’</w:t>
      </w:r>
      <w:r w:rsidR="00887929">
        <w:t>ESSMS PH</w:t>
      </w:r>
      <w:bookmarkEnd w:id="24"/>
    </w:p>
    <w:p w14:paraId="03A047E6" w14:textId="77777777" w:rsidR="0091008D" w:rsidRPr="00762B41" w:rsidRDefault="0091008D" w:rsidP="00762B41">
      <w:pPr>
        <w:rPr>
          <w:rFonts w:asciiTheme="majorHAnsi" w:eastAsia="MS Gothic" w:hAnsiTheme="majorHAnsi" w:cstheme="majorHAnsi"/>
          <w:lang w:eastAsia="en-US"/>
        </w:rPr>
      </w:pPr>
    </w:p>
    <w:p w14:paraId="36F30564" w14:textId="18B8A945" w:rsidR="0091008D" w:rsidRPr="00762B41" w:rsidRDefault="0091008D"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positionner l’un de ses personnels formés à la prise en charge médicamenteuse, comme « référent médicament ». Le « référent médicament » a notamment une fonction de liaison avec la pharmacie d’officine</w:t>
      </w:r>
      <w:r w:rsidR="009B25A4" w:rsidRPr="00762B41">
        <w:rPr>
          <w:rStyle w:val="Appelnotedebasdep"/>
          <w:rFonts w:asciiTheme="majorHAnsi" w:eastAsia="Calibri" w:hAnsiTheme="majorHAnsi" w:cstheme="majorHAnsi"/>
          <w:sz w:val="22"/>
          <w:szCs w:val="22"/>
          <w:lang w:eastAsia="en-US"/>
        </w:rPr>
        <w:footnoteReference w:id="3"/>
      </w:r>
      <w:r w:rsidRPr="00762B41">
        <w:rPr>
          <w:rFonts w:asciiTheme="majorHAnsi" w:eastAsia="Calibri" w:hAnsiTheme="majorHAnsi" w:cstheme="majorHAnsi"/>
          <w:sz w:val="22"/>
          <w:szCs w:val="22"/>
          <w:lang w:eastAsia="en-US"/>
        </w:rPr>
        <w:t xml:space="preserve">. </w:t>
      </w:r>
      <w:r w:rsidR="0089418B" w:rsidRPr="0089418B">
        <w:rPr>
          <w:rFonts w:asciiTheme="majorHAnsi" w:eastAsia="Calibri" w:hAnsiTheme="majorHAnsi" w:cstheme="majorHAnsi"/>
          <w:sz w:val="22"/>
          <w:szCs w:val="22"/>
          <w:lang w:eastAsia="en-US"/>
        </w:rPr>
        <w:t>Il doit être infirmier diplômé d’état</w:t>
      </w:r>
      <w:r w:rsidRPr="00762B41">
        <w:rPr>
          <w:rFonts w:asciiTheme="majorHAnsi" w:eastAsia="Calibri" w:hAnsiTheme="majorHAnsi" w:cstheme="majorHAnsi"/>
          <w:sz w:val="22"/>
          <w:szCs w:val="22"/>
          <w:lang w:eastAsia="en-US"/>
        </w:rPr>
        <w:t>. En cas d’absence le référent médicament est remplacé.</w:t>
      </w:r>
      <w:r w:rsidR="00181398">
        <w:rPr>
          <w:rFonts w:asciiTheme="majorHAnsi" w:eastAsia="Calibri" w:hAnsiTheme="majorHAnsi" w:cstheme="majorHAnsi"/>
          <w:sz w:val="22"/>
          <w:szCs w:val="22"/>
          <w:lang w:eastAsia="en-US"/>
        </w:rPr>
        <w:t xml:space="preserve"> </w:t>
      </w:r>
    </w:p>
    <w:p w14:paraId="2422A81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60966CBD" w14:textId="1A265510" w:rsidR="00FC2420" w:rsidRPr="00762B41" w:rsidRDefault="00671E29" w:rsidP="00633707">
      <w:pPr>
        <w:pStyle w:val="Titre1"/>
      </w:pPr>
      <w:bookmarkStart w:id="25" w:name="_Toc160615797"/>
      <w:r w:rsidRPr="00762B41">
        <w:t xml:space="preserve">Article 8. </w:t>
      </w:r>
      <w:r w:rsidR="00FC2420" w:rsidRPr="00762B41">
        <w:t>Missions du pharmacien référent</w:t>
      </w:r>
      <w:r w:rsidR="004B6570">
        <w:rPr>
          <w:rStyle w:val="Appelnotedebasdep"/>
        </w:rPr>
        <w:footnoteReference w:id="4"/>
      </w:r>
      <w:bookmarkEnd w:id="25"/>
      <w:r w:rsidR="00FC2420" w:rsidRPr="00762B41">
        <w:t xml:space="preserve"> </w:t>
      </w:r>
    </w:p>
    <w:p w14:paraId="05D68354" w14:textId="77777777" w:rsidR="00FC2420" w:rsidRPr="00762B41" w:rsidRDefault="00FC2420" w:rsidP="00762B41">
      <w:pPr>
        <w:rPr>
          <w:rFonts w:asciiTheme="majorHAnsi" w:eastAsia="Calibri" w:hAnsiTheme="majorHAnsi" w:cstheme="majorHAnsi"/>
          <w:lang w:eastAsia="en-US"/>
        </w:rPr>
      </w:pPr>
    </w:p>
    <w:p w14:paraId="1178D9E0" w14:textId="1C9BB00A"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 pharmacien référent participe aux réunions en rapport avec le volet pharmaceutique du projet de soin en </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notamment aux réunions de la commission de coordination gériatrique (CCG)</w:t>
      </w:r>
      <w:r w:rsidR="006D5AC2" w:rsidRPr="00762B41">
        <w:rPr>
          <w:rFonts w:asciiTheme="majorHAnsi" w:eastAsia="Calibri" w:hAnsiTheme="majorHAnsi" w:cstheme="majorHAnsi"/>
          <w:sz w:val="22"/>
          <w:szCs w:val="22"/>
          <w:lang w:eastAsia="en-US"/>
        </w:rPr>
        <w:t>.</w:t>
      </w:r>
    </w:p>
    <w:p w14:paraId="644B2E3B" w14:textId="17C4D54E"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Il participe avec les équipes de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à l’analyse des non-conformités et évènements indésirables concernant la prise en charge médicamenteuse et à la mise en place des actions correctives.</w:t>
      </w:r>
    </w:p>
    <w:p w14:paraId="33396EB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Il collabore à la rédaction et la révision des listes </w:t>
      </w:r>
      <w:r w:rsidR="006D5AC2"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 xml:space="preserve">la dotation pour besoins urgents et </w:t>
      </w:r>
      <w:r w:rsidR="006D5AC2"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 xml:space="preserve">la dotation pour le chariot d’urgence vitale (mentionnées </w:t>
      </w:r>
      <w:r w:rsidR="006D5AC2" w:rsidRPr="00762B41">
        <w:rPr>
          <w:rFonts w:asciiTheme="majorHAnsi" w:eastAsia="Calibri" w:hAnsiTheme="majorHAnsi" w:cstheme="majorHAnsi"/>
          <w:sz w:val="22"/>
          <w:szCs w:val="22"/>
          <w:lang w:eastAsia="en-US"/>
        </w:rPr>
        <w:t>au chapitre « Continuité de la prestation pharmaceutique »)</w:t>
      </w:r>
    </w:p>
    <w:p w14:paraId="3D584D4C"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Il participe à la rédaction des procédures en lien avec la PECM.  </w:t>
      </w:r>
    </w:p>
    <w:p w14:paraId="7F9A4402"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Il concourt au bon usage des médicaments destinés aux résidents. </w:t>
      </w:r>
    </w:p>
    <w:p w14:paraId="5C2FF40A" w14:textId="7E4B123B"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Afin d’améliorer le bon usage, le pharmacien</w:t>
      </w:r>
      <w:r w:rsidR="00181398">
        <w:rPr>
          <w:rFonts w:asciiTheme="majorHAnsi" w:eastAsia="Calibri" w:hAnsiTheme="majorHAnsi" w:cstheme="majorHAnsi"/>
          <w:sz w:val="22"/>
          <w:szCs w:val="22"/>
          <w:lang w:eastAsia="en-US"/>
        </w:rPr>
        <w:t xml:space="preserve"> référent</w:t>
      </w:r>
      <w:r w:rsidRPr="00762B41">
        <w:rPr>
          <w:rFonts w:asciiTheme="majorHAnsi" w:eastAsia="Calibri" w:hAnsiTheme="majorHAnsi" w:cstheme="majorHAnsi"/>
          <w:sz w:val="22"/>
          <w:szCs w:val="22"/>
          <w:lang w:eastAsia="en-US"/>
        </w:rPr>
        <w:t xml:space="preserve"> s’engage à communiquer régulièrement </w:t>
      </w:r>
      <w:r w:rsidRPr="00762B41">
        <w:rPr>
          <w:rFonts w:asciiTheme="majorHAnsi" w:eastAsia="Calibri" w:hAnsiTheme="majorHAnsi" w:cstheme="majorHAnsi"/>
          <w:i/>
          <w:sz w:val="22"/>
          <w:szCs w:val="22"/>
          <w:lang w:eastAsia="en-US"/>
        </w:rPr>
        <w:t>(fréquence à définir entre les parties prenantes de la présente convention)</w:t>
      </w:r>
      <w:r w:rsidRPr="00762B41">
        <w:rPr>
          <w:rFonts w:asciiTheme="majorHAnsi" w:eastAsia="Calibri" w:hAnsiTheme="majorHAnsi" w:cstheme="majorHAnsi"/>
          <w:sz w:val="22"/>
          <w:szCs w:val="22"/>
          <w:lang w:eastAsia="en-US"/>
        </w:rPr>
        <w:t xml:space="preserve"> au médecin coordonnateur de la structure le bilan d’activité de dispensation pour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ainsi que le bilan individualisé des traitements du résident au titre de son suivi pharmaco-thérapeutique.</w:t>
      </w:r>
    </w:p>
    <w:p w14:paraId="36B21274" w14:textId="77777777" w:rsidR="00FC2420" w:rsidRPr="00762B41" w:rsidRDefault="00FC2420" w:rsidP="00762B41">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sz w:val="22"/>
          <w:szCs w:val="22"/>
          <w:lang w:eastAsia="en-US"/>
        </w:rPr>
        <w:t xml:space="preserve">Dans un objectif d’amélioration continue de la qualité et de la sécurité des soins, des indicateurs d’activité peuvent être définis ainsi que des indicateurs de suivi des non-conformités </w:t>
      </w:r>
      <w:r w:rsidRPr="00762B41">
        <w:rPr>
          <w:rFonts w:asciiTheme="majorHAnsi" w:eastAsia="Calibri" w:hAnsiTheme="majorHAnsi" w:cstheme="majorHAnsi"/>
          <w:i/>
          <w:sz w:val="22"/>
          <w:szCs w:val="22"/>
          <w:lang w:eastAsia="en-US"/>
        </w:rPr>
        <w:t>(à préciser dans la présente convention).</w:t>
      </w:r>
      <w:r w:rsidRPr="00762B41">
        <w:rPr>
          <w:rFonts w:asciiTheme="majorHAnsi" w:eastAsia="Calibri" w:hAnsiTheme="majorHAnsi" w:cstheme="majorHAnsi"/>
          <w:i/>
          <w:sz w:val="22"/>
          <w:szCs w:val="22"/>
          <w:lang w:eastAsia="en-US"/>
        </w:rPr>
        <w:tab/>
      </w:r>
    </w:p>
    <w:p w14:paraId="687AB86A" w14:textId="77777777" w:rsidR="0091008D" w:rsidRPr="00E94D04" w:rsidRDefault="0091008D" w:rsidP="00762B41">
      <w:pPr>
        <w:suppressAutoHyphens/>
        <w:spacing w:after="120"/>
        <w:jc w:val="both"/>
        <w:rPr>
          <w:rFonts w:asciiTheme="majorHAnsi" w:eastAsia="Calibri" w:hAnsiTheme="majorHAnsi" w:cstheme="majorHAnsi"/>
          <w:sz w:val="18"/>
          <w:szCs w:val="22"/>
          <w:lang w:eastAsia="en-US"/>
        </w:rPr>
      </w:pPr>
    </w:p>
    <w:p w14:paraId="4701B743" w14:textId="77777777" w:rsidR="00FF71DD" w:rsidRPr="00633707" w:rsidRDefault="00671E29" w:rsidP="00633707">
      <w:pPr>
        <w:pStyle w:val="Titre1"/>
      </w:pPr>
      <w:bookmarkStart w:id="26" w:name="_Toc160615798"/>
      <w:r w:rsidRPr="00762B41">
        <w:t xml:space="preserve">Article 9. </w:t>
      </w:r>
      <w:r w:rsidR="00FC2420" w:rsidRPr="00762B41">
        <w:t>T</w:t>
      </w:r>
      <w:r w:rsidR="00402DE1" w:rsidRPr="00762B41">
        <w:t>arification</w:t>
      </w:r>
      <w:bookmarkEnd w:id="26"/>
    </w:p>
    <w:p w14:paraId="27E06FBD" w14:textId="77777777" w:rsidR="00FC2420" w:rsidRPr="00762B41" w:rsidRDefault="00FC2420" w:rsidP="00762B41">
      <w:pPr>
        <w:pStyle w:val="Titre2"/>
        <w:rPr>
          <w:rFonts w:eastAsia="MS Gothic" w:cstheme="majorHAnsi"/>
          <w:b/>
          <w:color w:val="auto"/>
          <w:lang w:eastAsia="en-US"/>
        </w:rPr>
      </w:pPr>
      <w:bookmarkStart w:id="27" w:name="_Toc144462453"/>
      <w:bookmarkStart w:id="28" w:name="_Toc160615799"/>
      <w:r w:rsidRPr="00762B41">
        <w:rPr>
          <w:rFonts w:eastAsia="MS Gothic" w:cstheme="majorHAnsi"/>
          <w:b/>
          <w:color w:val="auto"/>
          <w:lang w:eastAsia="en-US"/>
        </w:rPr>
        <w:t>Tarification des produits</w:t>
      </w:r>
      <w:bookmarkEnd w:id="27"/>
      <w:bookmarkEnd w:id="28"/>
    </w:p>
    <w:p w14:paraId="682B7CCD"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L’officine s’engage à fournir les médicaments, produits et prestations remboursables les plus efficients parmi ceux adaptés au résident. Les produits sont tarifiés conformément aux dispositifs réglementaires en vigueur.</w:t>
      </w:r>
    </w:p>
    <w:p w14:paraId="675FA7D3" w14:textId="77777777" w:rsidR="00FC2420" w:rsidRPr="00762B41" w:rsidRDefault="00FC2420" w:rsidP="00762B41">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Les mentions relatives à l’acquittement des factures, tiers payant… sont à préciser le cas échéant par les parties prenantes.</w:t>
      </w:r>
    </w:p>
    <w:p w14:paraId="5BB6444F" w14:textId="77777777" w:rsidR="00FF71DD" w:rsidRPr="00E94D04" w:rsidRDefault="00FF71DD" w:rsidP="00762B41">
      <w:pPr>
        <w:suppressAutoHyphens/>
        <w:spacing w:after="120"/>
        <w:jc w:val="both"/>
        <w:rPr>
          <w:rFonts w:asciiTheme="majorHAnsi" w:eastAsia="Calibri" w:hAnsiTheme="majorHAnsi" w:cstheme="majorHAnsi"/>
          <w:i/>
          <w:sz w:val="18"/>
          <w:szCs w:val="22"/>
          <w:lang w:eastAsia="en-US"/>
        </w:rPr>
      </w:pPr>
    </w:p>
    <w:p w14:paraId="7A6771CC" w14:textId="77777777" w:rsidR="00FC2420" w:rsidRPr="00762B41" w:rsidRDefault="00FC2420" w:rsidP="00762B41">
      <w:pPr>
        <w:pStyle w:val="Titre2"/>
        <w:rPr>
          <w:rFonts w:eastAsia="MS Gothic" w:cstheme="majorHAnsi"/>
          <w:b/>
          <w:color w:val="auto"/>
          <w:lang w:eastAsia="en-US"/>
        </w:rPr>
      </w:pPr>
      <w:bookmarkStart w:id="29" w:name="_Toc144462454"/>
      <w:bookmarkStart w:id="30" w:name="_Toc160615800"/>
      <w:r w:rsidRPr="00762B41">
        <w:rPr>
          <w:rFonts w:eastAsia="MS Gothic" w:cstheme="majorHAnsi"/>
          <w:b/>
          <w:color w:val="auto"/>
          <w:lang w:eastAsia="en-US"/>
        </w:rPr>
        <w:t>Tarification de la prestation de PDA</w:t>
      </w:r>
      <w:bookmarkEnd w:id="29"/>
      <w:bookmarkEnd w:id="30"/>
    </w:p>
    <w:p w14:paraId="4EDA4D48" w14:textId="77777777" w:rsidR="005F501E" w:rsidRPr="00762B41" w:rsidRDefault="005F501E" w:rsidP="005F501E">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A compléter par les parties prenantes.</w:t>
      </w:r>
    </w:p>
    <w:p w14:paraId="474531E7" w14:textId="5FD2D2E2" w:rsidR="009E751A" w:rsidRDefault="009E751A" w:rsidP="00762B41">
      <w:pPr>
        <w:suppressAutoHyphens/>
        <w:spacing w:after="120"/>
        <w:jc w:val="both"/>
        <w:rPr>
          <w:rFonts w:asciiTheme="majorHAnsi" w:eastAsia="Calibri" w:hAnsiTheme="majorHAnsi" w:cstheme="majorHAnsi"/>
          <w:i/>
          <w:sz w:val="22"/>
          <w:szCs w:val="22"/>
          <w:lang w:eastAsia="en-US"/>
        </w:rPr>
      </w:pPr>
      <w:r>
        <w:rPr>
          <w:rFonts w:asciiTheme="majorHAnsi" w:eastAsia="Calibri" w:hAnsiTheme="majorHAnsi" w:cstheme="majorHAnsi"/>
          <w:i/>
          <w:sz w:val="22"/>
          <w:szCs w:val="22"/>
          <w:lang w:eastAsia="en-US"/>
        </w:rPr>
        <w:t xml:space="preserve">Ne peut faire l’objet de prise en charge </w:t>
      </w:r>
      <w:r w:rsidR="005F501E">
        <w:rPr>
          <w:rFonts w:asciiTheme="majorHAnsi" w:eastAsia="Calibri" w:hAnsiTheme="majorHAnsi" w:cstheme="majorHAnsi"/>
          <w:i/>
          <w:sz w:val="22"/>
          <w:szCs w:val="22"/>
          <w:lang w:eastAsia="en-US"/>
        </w:rPr>
        <w:t>par les organismes de sécurité sociale (</w:t>
      </w:r>
      <w:r>
        <w:rPr>
          <w:rFonts w:asciiTheme="majorHAnsi" w:eastAsia="Calibri" w:hAnsiTheme="majorHAnsi" w:cstheme="majorHAnsi"/>
          <w:i/>
          <w:sz w:val="22"/>
          <w:szCs w:val="22"/>
          <w:lang w:eastAsia="en-US"/>
        </w:rPr>
        <w:t>dans le cadre du droit commun ou d’expérimentations régionales ou nationales</w:t>
      </w:r>
      <w:r w:rsidR="005F501E">
        <w:rPr>
          <w:rFonts w:asciiTheme="majorHAnsi" w:eastAsia="Calibri" w:hAnsiTheme="majorHAnsi" w:cstheme="majorHAnsi"/>
          <w:i/>
          <w:sz w:val="22"/>
          <w:szCs w:val="22"/>
          <w:lang w:eastAsia="en-US"/>
        </w:rPr>
        <w:t>)</w:t>
      </w:r>
      <w:r>
        <w:rPr>
          <w:rFonts w:asciiTheme="majorHAnsi" w:eastAsia="Calibri" w:hAnsiTheme="majorHAnsi" w:cstheme="majorHAnsi"/>
          <w:i/>
          <w:sz w:val="22"/>
          <w:szCs w:val="22"/>
          <w:lang w:eastAsia="en-US"/>
        </w:rPr>
        <w:t>.</w:t>
      </w:r>
    </w:p>
    <w:p w14:paraId="39E195F3" w14:textId="77777777" w:rsidR="00DB1B9D" w:rsidRPr="00E94D04" w:rsidRDefault="00DB1B9D" w:rsidP="00762B41">
      <w:pPr>
        <w:suppressAutoHyphens/>
        <w:spacing w:after="120"/>
        <w:jc w:val="both"/>
        <w:rPr>
          <w:rFonts w:asciiTheme="majorHAnsi" w:eastAsia="Calibri" w:hAnsiTheme="majorHAnsi" w:cstheme="majorHAnsi"/>
          <w:i/>
          <w:sz w:val="18"/>
          <w:szCs w:val="22"/>
          <w:lang w:eastAsia="en-US"/>
        </w:rPr>
      </w:pPr>
    </w:p>
    <w:p w14:paraId="1E425622" w14:textId="77777777" w:rsidR="00FC2420" w:rsidRPr="00762B41" w:rsidRDefault="00671E29" w:rsidP="00633707">
      <w:pPr>
        <w:pStyle w:val="Titre1"/>
      </w:pPr>
      <w:bookmarkStart w:id="31" w:name="_Toc160615801"/>
      <w:r w:rsidRPr="00762B41">
        <w:t xml:space="preserve">Article 10. </w:t>
      </w:r>
      <w:r w:rsidR="00B210BB" w:rsidRPr="00762B41">
        <w:t>Durée et résiliation de la convention</w:t>
      </w:r>
      <w:bookmarkEnd w:id="31"/>
    </w:p>
    <w:p w14:paraId="71EF1B6F" w14:textId="77777777" w:rsidR="00FF71DD" w:rsidRPr="00762B41" w:rsidRDefault="00FF71DD" w:rsidP="00762B41">
      <w:pPr>
        <w:rPr>
          <w:rFonts w:asciiTheme="majorHAnsi" w:eastAsia="MS Gothic" w:hAnsiTheme="majorHAnsi" w:cstheme="majorHAnsi"/>
          <w:lang w:eastAsia="en-US"/>
        </w:rPr>
      </w:pPr>
    </w:p>
    <w:p w14:paraId="7CFC5D4B" w14:textId="2F1C8F7B" w:rsidR="00FC2420" w:rsidRPr="00F60E99" w:rsidRDefault="00FC2420" w:rsidP="00762B41">
      <w:pPr>
        <w:suppressAutoHyphens/>
        <w:spacing w:after="120"/>
        <w:jc w:val="both"/>
        <w:rPr>
          <w:rFonts w:asciiTheme="majorHAnsi" w:eastAsia="Calibri" w:hAnsiTheme="majorHAnsi" w:cstheme="majorHAnsi"/>
          <w:color w:val="FF0000"/>
          <w:sz w:val="22"/>
          <w:szCs w:val="22"/>
          <w:lang w:eastAsia="en-US"/>
        </w:rPr>
      </w:pPr>
      <w:r w:rsidRPr="00762B41">
        <w:rPr>
          <w:rFonts w:asciiTheme="majorHAnsi" w:eastAsia="Calibri" w:hAnsiTheme="majorHAnsi" w:cstheme="majorHAnsi"/>
          <w:sz w:val="22"/>
          <w:szCs w:val="22"/>
          <w:lang w:eastAsia="en-US"/>
        </w:rPr>
        <w:t xml:space="preserve">La présente convention est conclue pour une période de </w:t>
      </w:r>
      <w:r w:rsidRPr="00762B41">
        <w:rPr>
          <w:rFonts w:asciiTheme="majorHAnsi" w:eastAsia="Calibri" w:hAnsiTheme="majorHAnsi" w:cstheme="majorHAnsi"/>
          <w:sz w:val="22"/>
          <w:szCs w:val="22"/>
          <w:u w:val="single"/>
          <w:lang w:eastAsia="en-US"/>
        </w:rPr>
        <w:t xml:space="preserve">     </w:t>
      </w:r>
      <w:r w:rsidRPr="00762B41">
        <w:rPr>
          <w:rFonts w:asciiTheme="majorHAnsi" w:eastAsia="Calibri" w:hAnsiTheme="majorHAnsi" w:cstheme="majorHAnsi"/>
          <w:sz w:val="22"/>
          <w:szCs w:val="22"/>
          <w:lang w:eastAsia="en-US"/>
        </w:rPr>
        <w:t xml:space="preserve"> an(s) à compter de la date de sa signature, et renouvelable</w:t>
      </w:r>
      <w:r w:rsidR="00181398">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par tacite reconduction</w:t>
      </w:r>
      <w:r w:rsidR="00F60E99">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à sa date d’échéance</w:t>
      </w:r>
      <w:r w:rsidR="00E77039">
        <w:rPr>
          <w:rFonts w:asciiTheme="majorHAnsi" w:eastAsia="Calibri" w:hAnsiTheme="majorHAnsi" w:cstheme="majorHAnsi"/>
          <w:sz w:val="22"/>
          <w:szCs w:val="22"/>
          <w:lang w:eastAsia="en-US"/>
        </w:rPr>
        <w:t>.</w:t>
      </w:r>
      <w:r w:rsidR="00F60E99">
        <w:rPr>
          <w:rFonts w:asciiTheme="majorHAnsi" w:eastAsia="Calibri" w:hAnsiTheme="majorHAnsi" w:cstheme="majorHAnsi"/>
          <w:sz w:val="22"/>
          <w:szCs w:val="22"/>
          <w:lang w:eastAsia="en-US"/>
        </w:rPr>
        <w:t xml:space="preserve"> </w:t>
      </w:r>
    </w:p>
    <w:p w14:paraId="780BF7F3" w14:textId="77777777" w:rsidR="00D90B75" w:rsidRPr="00D90B75" w:rsidRDefault="00D90B75" w:rsidP="00D90B75">
      <w:pPr>
        <w:suppressAutoHyphens/>
        <w:spacing w:after="120"/>
        <w:jc w:val="both"/>
        <w:rPr>
          <w:rFonts w:asciiTheme="majorHAnsi" w:eastAsia="Calibri" w:hAnsiTheme="majorHAnsi" w:cstheme="majorHAnsi"/>
          <w:sz w:val="22"/>
          <w:szCs w:val="22"/>
          <w:lang w:eastAsia="en-US"/>
        </w:rPr>
      </w:pPr>
      <w:r w:rsidRPr="00D90B75">
        <w:rPr>
          <w:rFonts w:asciiTheme="majorHAnsi" w:eastAsia="Calibri" w:hAnsiTheme="majorHAnsi" w:cstheme="majorHAnsi"/>
          <w:sz w:val="22"/>
          <w:szCs w:val="22"/>
          <w:lang w:eastAsia="en-US"/>
        </w:rPr>
        <w:t>En cas d'inexécution partielle ou totale des engagements prévus au présent contrat, la partie qui s’en prévaut adresse à l’autre partie une mise en demeure motivée de prendre, dans un délai d'un mois, les mesures nécessaires au respect de ses engagements. Cette dernière partie peut présenter des observations écrites ou orales dans ce délai. Compte tenu de ces éléments de réponse, ce délai peut être renouvelé une fois pour la même durée.</w:t>
      </w:r>
    </w:p>
    <w:p w14:paraId="66FEA9C5" w14:textId="7E342241" w:rsidR="00D90B75" w:rsidRPr="00762B41" w:rsidRDefault="00D90B75" w:rsidP="00D90B75">
      <w:pPr>
        <w:suppressAutoHyphens/>
        <w:spacing w:after="120"/>
        <w:jc w:val="both"/>
        <w:rPr>
          <w:rFonts w:asciiTheme="majorHAnsi" w:eastAsia="Calibri" w:hAnsiTheme="majorHAnsi" w:cstheme="majorHAnsi"/>
          <w:sz w:val="22"/>
          <w:szCs w:val="22"/>
          <w:lang w:eastAsia="en-US"/>
        </w:rPr>
      </w:pPr>
      <w:r w:rsidRPr="00D90B75">
        <w:rPr>
          <w:rFonts w:asciiTheme="majorHAnsi" w:eastAsia="Calibri" w:hAnsiTheme="majorHAnsi" w:cstheme="majorHAnsi"/>
          <w:sz w:val="22"/>
          <w:szCs w:val="22"/>
          <w:lang w:eastAsia="en-US"/>
        </w:rPr>
        <w:t>Si, au terme du délai accordé, les mesures nécessaires au respect des engagements n'ont pas été prises sans justification valable, la partie se prévoyant d’une telle inexécution peut résilier le contrat.</w:t>
      </w:r>
    </w:p>
    <w:p w14:paraId="60528C56" w14:textId="77777777" w:rsidR="009B25A4" w:rsidRPr="00E94D04" w:rsidRDefault="009B25A4" w:rsidP="00762B41">
      <w:pPr>
        <w:suppressAutoHyphens/>
        <w:spacing w:after="120"/>
        <w:jc w:val="both"/>
        <w:rPr>
          <w:rFonts w:asciiTheme="majorHAnsi" w:eastAsia="Calibri" w:hAnsiTheme="majorHAnsi" w:cstheme="majorHAnsi"/>
          <w:sz w:val="18"/>
          <w:szCs w:val="22"/>
          <w:lang w:eastAsia="en-US"/>
        </w:rPr>
      </w:pPr>
    </w:p>
    <w:p w14:paraId="59DE9E53" w14:textId="77777777" w:rsidR="00FC2420" w:rsidRPr="00762B41" w:rsidRDefault="00671E29" w:rsidP="00633707">
      <w:pPr>
        <w:pStyle w:val="Titre1"/>
      </w:pPr>
      <w:bookmarkStart w:id="32" w:name="_Toc144462457"/>
      <w:bookmarkStart w:id="33" w:name="_Toc160615802"/>
      <w:r w:rsidRPr="00762B41">
        <w:t xml:space="preserve">Article 11. </w:t>
      </w:r>
      <w:r w:rsidR="00FC2420" w:rsidRPr="00762B41">
        <w:t>Transmission de la convention</w:t>
      </w:r>
      <w:bookmarkEnd w:id="32"/>
      <w:bookmarkEnd w:id="33"/>
    </w:p>
    <w:p w14:paraId="4C6CC33F" w14:textId="77777777" w:rsidR="00FF71DD" w:rsidRPr="00E94D04" w:rsidRDefault="00FF71DD" w:rsidP="00762B41">
      <w:pPr>
        <w:rPr>
          <w:rFonts w:asciiTheme="majorHAnsi" w:eastAsia="MS Gothic" w:hAnsiTheme="majorHAnsi" w:cstheme="majorHAnsi"/>
          <w:sz w:val="16"/>
          <w:lang w:eastAsia="en-US"/>
        </w:rPr>
      </w:pPr>
    </w:p>
    <w:p w14:paraId="038B33B6" w14:textId="3E004BC1"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présente convention doit être transmise par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à l’autorité administrative compétente (ARS Normandie) ainsi qu’à la CPAM</w:t>
      </w:r>
      <w:r w:rsidR="00155B3C">
        <w:rPr>
          <w:rFonts w:asciiTheme="majorHAnsi" w:eastAsia="Calibri" w:hAnsiTheme="majorHAnsi" w:cstheme="majorHAnsi"/>
          <w:sz w:val="22"/>
          <w:szCs w:val="22"/>
          <w:lang w:eastAsia="en-US"/>
        </w:rPr>
        <w:t xml:space="preserve"> </w:t>
      </w:r>
      <w:r w:rsidR="00155B3C">
        <w:rPr>
          <w:rFonts w:asciiTheme="majorHAnsi" w:eastAsia="Calibri" w:hAnsiTheme="majorHAnsi" w:cstheme="majorHAnsi"/>
          <w:sz w:val="22"/>
          <w:szCs w:val="22"/>
          <w:lang w:eastAsia="en-US"/>
        </w:rPr>
        <w:t>(art. L.5126-10 du code de la santé publique)</w:t>
      </w:r>
      <w:r w:rsidRPr="00762B41">
        <w:rPr>
          <w:rFonts w:asciiTheme="majorHAnsi" w:eastAsia="Calibri" w:hAnsiTheme="majorHAnsi" w:cstheme="majorHAnsi"/>
          <w:sz w:val="22"/>
          <w:szCs w:val="22"/>
          <w:lang w:eastAsia="en-US"/>
        </w:rPr>
        <w:t>.</w:t>
      </w:r>
    </w:p>
    <w:p w14:paraId="0E4B8F35" w14:textId="3CFE5FDF"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La présente convention doit être transmise par le pharmacien d’officine, pour information, au Conseil </w:t>
      </w:r>
      <w:r w:rsidR="00BA3DBF">
        <w:rPr>
          <w:rFonts w:asciiTheme="majorHAnsi" w:eastAsia="Calibri" w:hAnsiTheme="majorHAnsi" w:cstheme="majorHAnsi"/>
          <w:sz w:val="22"/>
          <w:szCs w:val="22"/>
          <w:lang w:eastAsia="en-US"/>
        </w:rPr>
        <w:t>compétent</w:t>
      </w:r>
      <w:r w:rsidR="00BA3DBF" w:rsidRPr="00762B41">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 xml:space="preserve">de l’Ordre </w:t>
      </w:r>
      <w:r w:rsidR="00BA3DBF">
        <w:rPr>
          <w:rFonts w:asciiTheme="majorHAnsi" w:eastAsia="Calibri" w:hAnsiTheme="majorHAnsi" w:cstheme="majorHAnsi"/>
          <w:sz w:val="22"/>
          <w:szCs w:val="22"/>
          <w:lang w:eastAsia="en-US"/>
        </w:rPr>
        <w:t>(art. L.5126-10 du code de la santé publique)</w:t>
      </w:r>
      <w:r w:rsidRPr="00762B41">
        <w:rPr>
          <w:rFonts w:asciiTheme="majorHAnsi" w:eastAsia="Calibri" w:hAnsiTheme="majorHAnsi" w:cstheme="majorHAnsi"/>
          <w:sz w:val="22"/>
          <w:szCs w:val="22"/>
          <w:lang w:eastAsia="en-US"/>
        </w:rPr>
        <w:t>.</w:t>
      </w:r>
    </w:p>
    <w:p w14:paraId="03C19FAD" w14:textId="1CAF7DE0" w:rsidR="00402DE1"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s’engage à mettre la présente convention à disposition des résidents ou </w:t>
      </w:r>
      <w:r w:rsidR="006107A1"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leur représentant légal.</w:t>
      </w:r>
      <w:r w:rsidR="00402DE1" w:rsidRPr="00762B41">
        <w:rPr>
          <w:rFonts w:asciiTheme="majorHAnsi" w:eastAsia="Calibri" w:hAnsiTheme="majorHAnsi" w:cstheme="majorHAnsi"/>
          <w:sz w:val="22"/>
          <w:szCs w:val="22"/>
          <w:lang w:eastAsia="en-US"/>
        </w:rPr>
        <w:br w:type="page"/>
      </w:r>
    </w:p>
    <w:p w14:paraId="361764E6" w14:textId="10B52C60" w:rsidR="00FC2420" w:rsidRPr="00762B41" w:rsidRDefault="00FC2420" w:rsidP="00633707">
      <w:pPr>
        <w:pStyle w:val="Titre1"/>
        <w:rPr>
          <w:rFonts w:eastAsia="MS Gothic"/>
          <w:color w:val="auto"/>
          <w:lang w:eastAsia="en-US"/>
        </w:rPr>
      </w:pPr>
      <w:bookmarkStart w:id="34" w:name="_Toc144462458"/>
      <w:bookmarkStart w:id="35" w:name="_Toc160615803"/>
      <w:r w:rsidRPr="00762B41">
        <w:t>ANNEXE</w:t>
      </w:r>
      <w:bookmarkEnd w:id="34"/>
      <w:r w:rsidRPr="00762B41">
        <w:t>S</w:t>
      </w:r>
      <w:bookmarkEnd w:id="35"/>
    </w:p>
    <w:p w14:paraId="3A86961C" w14:textId="77777777" w:rsidR="00FC2420" w:rsidRPr="00762B41" w:rsidRDefault="00FC2420" w:rsidP="00762B41">
      <w:pPr>
        <w:rPr>
          <w:rFonts w:asciiTheme="majorHAnsi" w:eastAsia="MS Gothic" w:hAnsiTheme="majorHAnsi" w:cstheme="majorHAnsi"/>
          <w:lang w:eastAsia="en-US"/>
        </w:rPr>
      </w:pPr>
    </w:p>
    <w:p w14:paraId="58397FBF" w14:textId="769B22FE" w:rsidR="00FC2420" w:rsidRPr="00762B41" w:rsidRDefault="00FC2420" w:rsidP="0009217A">
      <w:pPr>
        <w:pStyle w:val="Titre2"/>
        <w:jc w:val="center"/>
        <w:rPr>
          <w:rFonts w:eastAsia="MS Gothic" w:cstheme="majorHAnsi"/>
          <w:b/>
          <w:color w:val="auto"/>
          <w:lang w:eastAsia="en-US"/>
        </w:rPr>
      </w:pPr>
      <w:bookmarkStart w:id="36" w:name="_Toc144462459"/>
      <w:bookmarkStart w:id="37" w:name="_Toc160615804"/>
      <w:r w:rsidRPr="00762B41">
        <w:rPr>
          <w:rFonts w:eastAsia="MS Gothic" w:cstheme="majorHAnsi"/>
          <w:color w:val="auto"/>
          <w:lang w:eastAsia="en-US"/>
        </w:rPr>
        <w:t>Demande d’accord du résident relatif à la prestation pharmaceutique</w:t>
      </w:r>
      <w:bookmarkEnd w:id="36"/>
      <w:bookmarkEnd w:id="37"/>
    </w:p>
    <w:p w14:paraId="30E6987B" w14:textId="77777777" w:rsidR="00FC2420" w:rsidRPr="00762B41" w:rsidRDefault="00FC2420" w:rsidP="00762B41">
      <w:pPr>
        <w:suppressAutoHyphens/>
        <w:spacing w:after="120"/>
        <w:jc w:val="center"/>
        <w:rPr>
          <w:rFonts w:asciiTheme="majorHAnsi" w:eastAsia="Calibri" w:hAnsiTheme="majorHAnsi" w:cstheme="majorHAnsi"/>
          <w:bCs/>
          <w:sz w:val="24"/>
          <w:szCs w:val="22"/>
          <w:lang w:eastAsia="en-US"/>
        </w:rPr>
      </w:pPr>
      <w:r w:rsidRPr="00762B41">
        <w:rPr>
          <w:rFonts w:asciiTheme="majorHAnsi" w:eastAsia="Calibri" w:hAnsiTheme="majorHAnsi" w:cstheme="majorHAnsi"/>
          <w:bCs/>
          <w:sz w:val="24"/>
          <w:szCs w:val="22"/>
          <w:lang w:eastAsia="en-US"/>
        </w:rPr>
        <w:t>(</w:t>
      </w:r>
      <w:r w:rsidR="00ED2A59" w:rsidRPr="00762B41">
        <w:rPr>
          <w:rFonts w:asciiTheme="majorHAnsi" w:eastAsia="Calibri" w:hAnsiTheme="majorHAnsi" w:cstheme="majorHAnsi"/>
          <w:bCs/>
          <w:sz w:val="24"/>
          <w:szCs w:val="22"/>
          <w:lang w:eastAsia="en-US"/>
        </w:rPr>
        <w:t>À</w:t>
      </w:r>
      <w:r w:rsidRPr="00762B41">
        <w:rPr>
          <w:rFonts w:asciiTheme="majorHAnsi" w:eastAsia="Calibri" w:hAnsiTheme="majorHAnsi" w:cstheme="majorHAnsi"/>
          <w:bCs/>
          <w:sz w:val="24"/>
          <w:szCs w:val="22"/>
          <w:lang w:eastAsia="en-US"/>
        </w:rPr>
        <w:t xml:space="preserve"> intégrer au livret d’accueil du résident)</w:t>
      </w:r>
    </w:p>
    <w:p w14:paraId="19747536" w14:textId="77777777" w:rsidR="00ED2A59" w:rsidRPr="00762B41" w:rsidRDefault="00ED2A59" w:rsidP="00762B41">
      <w:pPr>
        <w:suppressAutoHyphens/>
        <w:spacing w:after="120"/>
        <w:jc w:val="center"/>
        <w:rPr>
          <w:rFonts w:asciiTheme="majorHAnsi" w:eastAsia="Calibri" w:hAnsiTheme="majorHAnsi" w:cstheme="majorHAnsi"/>
          <w:b/>
          <w:bCs/>
          <w:sz w:val="24"/>
          <w:szCs w:val="22"/>
          <w:lang w:eastAsia="en-US"/>
        </w:rPr>
      </w:pPr>
    </w:p>
    <w:p w14:paraId="23C159E2"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Madame, Monsieur,</w:t>
      </w:r>
    </w:p>
    <w:p w14:paraId="4BA1EE98" w14:textId="5B6A101D" w:rsidR="00FC2420" w:rsidRPr="00762B41" w:rsidRDefault="00FC2420" w:rsidP="00762B41">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sz w:val="22"/>
          <w:szCs w:val="22"/>
          <w:lang w:eastAsia="en-US"/>
        </w:rPr>
        <w:t xml:space="preserve">Toute personne a le libre choix de son pharmacien. Afin de promouvoir la meilleure prestation pharmaceutique au profit de ses résidents, l’établissement dans lequel vous êtes accueilli est conventionné avec la pharmacie d’officine ……………………………………………………………………… </w:t>
      </w:r>
      <w:r w:rsidRPr="00762B41">
        <w:rPr>
          <w:rFonts w:asciiTheme="majorHAnsi" w:eastAsia="Calibri" w:hAnsiTheme="majorHAnsi" w:cstheme="majorHAnsi"/>
          <w:i/>
          <w:sz w:val="22"/>
          <w:szCs w:val="22"/>
          <w:lang w:eastAsia="en-US"/>
        </w:rPr>
        <w:t xml:space="preserve">(précisez l’emplacement de la convention </w:t>
      </w:r>
      <w:r w:rsidR="00887929">
        <w:rPr>
          <w:rFonts w:asciiTheme="majorHAnsi" w:eastAsia="Calibri" w:hAnsiTheme="majorHAnsi" w:cstheme="majorHAnsi"/>
          <w:i/>
          <w:sz w:val="22"/>
          <w:szCs w:val="22"/>
          <w:lang w:eastAsia="en-US"/>
        </w:rPr>
        <w:t>ESSMS PH</w:t>
      </w:r>
      <w:r w:rsidRPr="00762B41">
        <w:rPr>
          <w:rFonts w:asciiTheme="majorHAnsi" w:eastAsia="Calibri" w:hAnsiTheme="majorHAnsi" w:cstheme="majorHAnsi"/>
          <w:i/>
          <w:sz w:val="22"/>
          <w:szCs w:val="22"/>
          <w:lang w:eastAsia="en-US"/>
        </w:rPr>
        <w:t xml:space="preserve"> – Pharmacie d’officine signée, si le résident ou son représentant légal souhaite la consulter en intégralité).</w:t>
      </w:r>
    </w:p>
    <w:p w14:paraId="1E4B1F9A" w14:textId="77777777" w:rsidR="00ED2A59" w:rsidRPr="00762B41" w:rsidRDefault="00ED2A59" w:rsidP="00762B41">
      <w:pPr>
        <w:suppressAutoHyphens/>
        <w:spacing w:after="120"/>
        <w:jc w:val="both"/>
        <w:rPr>
          <w:rFonts w:asciiTheme="majorHAnsi" w:eastAsia="Calibri" w:hAnsiTheme="majorHAnsi" w:cstheme="majorHAnsi"/>
          <w:sz w:val="22"/>
          <w:szCs w:val="22"/>
          <w:lang w:eastAsia="en-US"/>
        </w:rPr>
      </w:pPr>
    </w:p>
    <w:p w14:paraId="43081D6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Si vous souhaitez bénéficier de cette prestation, nous vous remercions de compléter le formulaire de demande ci-dessous. </w:t>
      </w:r>
    </w:p>
    <w:p w14:paraId="295BE230" w14:textId="77777777" w:rsidR="00FC2420" w:rsidRPr="00762B41" w:rsidRDefault="00FC2420" w:rsidP="00762B41">
      <w:pPr>
        <w:pBdr>
          <w:bottom w:val="single" w:sz="4" w:space="1" w:color="000000"/>
        </w:pBdr>
        <w:suppressAutoHyphens/>
        <w:spacing w:after="120"/>
        <w:jc w:val="both"/>
        <w:rPr>
          <w:rFonts w:asciiTheme="majorHAnsi" w:eastAsia="Calibri" w:hAnsiTheme="majorHAnsi" w:cstheme="majorHAnsi"/>
          <w:sz w:val="22"/>
          <w:szCs w:val="22"/>
          <w:lang w:eastAsia="en-US"/>
        </w:rPr>
      </w:pPr>
    </w:p>
    <w:p w14:paraId="45011E02" w14:textId="77777777" w:rsidR="00FC2420" w:rsidRPr="00762B41" w:rsidRDefault="00FC2420" w:rsidP="00762B41">
      <w:pPr>
        <w:suppressAutoHyphens/>
        <w:spacing w:after="160" w:line="259" w:lineRule="auto"/>
        <w:rPr>
          <w:rFonts w:asciiTheme="majorHAnsi" w:eastAsia="Calibri" w:hAnsiTheme="majorHAnsi" w:cstheme="majorHAnsi"/>
          <w:sz w:val="22"/>
          <w:szCs w:val="22"/>
          <w:lang w:eastAsia="en-US"/>
        </w:rPr>
      </w:pPr>
    </w:p>
    <w:p w14:paraId="56E91302" w14:textId="77777777" w:rsidR="00FC2420" w:rsidRPr="00762B41" w:rsidRDefault="00FC2420" w:rsidP="00762B41">
      <w:pPr>
        <w:suppressAutoHyphens/>
        <w:spacing w:after="160" w:line="259" w:lineRule="auto"/>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Je, soussigné(e) Madame, Monsieur .............................................................., résident dans l’établissement ou son représentant légal,</w:t>
      </w:r>
    </w:p>
    <w:p w14:paraId="468B1D3A" w14:textId="71F1A8D9" w:rsidR="00FC2420" w:rsidRPr="00762B41" w:rsidRDefault="00FC2420" w:rsidP="00762B41">
      <w:pPr>
        <w:numPr>
          <w:ilvl w:val="0"/>
          <w:numId w:val="6"/>
        </w:numPr>
        <w:suppressAutoHyphens/>
        <w:spacing w:after="120"/>
        <w:ind w:left="0" w:firstLine="0"/>
        <w:contextualSpacing/>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Déclare avoir été informé(e) de l’engagement de l’</w:t>
      </w:r>
      <w:r w:rsidR="00887929">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xml:space="preserve"> dans une démarche conventionnelle de qualité, de sécurité et de traçabilité de la prise en charge médicamenteuse,</w:t>
      </w:r>
    </w:p>
    <w:p w14:paraId="61ED0A51" w14:textId="77777777" w:rsidR="00FC2420" w:rsidRPr="00762B41" w:rsidRDefault="00FC2420" w:rsidP="00762B41">
      <w:pPr>
        <w:numPr>
          <w:ilvl w:val="0"/>
          <w:numId w:val="6"/>
        </w:numPr>
        <w:suppressAutoHyphens/>
        <w:spacing w:after="120"/>
        <w:ind w:left="0" w:firstLine="0"/>
        <w:contextualSpacing/>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Demande la dispensation de mes médicaments et produits de santé (accompagnés de toutes les informations nécessaires à leur administration et à la coordination des soins avec les équipes soignantes et médicales) par le pharmacien d’officine engagé par convention (dans le respect des objectifs de qualité, de sécurité et de traçabilité de sa prestation),</w:t>
      </w:r>
    </w:p>
    <w:p w14:paraId="5DB1B3DE" w14:textId="77777777" w:rsidR="00FC2420" w:rsidRPr="00762B41" w:rsidRDefault="00FC2420" w:rsidP="00762B41">
      <w:pPr>
        <w:suppressAutoHyphens/>
        <w:spacing w:after="120"/>
        <w:contextualSpacing/>
        <w:jc w:val="both"/>
        <w:rPr>
          <w:rFonts w:asciiTheme="majorHAnsi" w:eastAsia="Calibri" w:hAnsiTheme="majorHAnsi" w:cstheme="majorHAnsi"/>
          <w:sz w:val="22"/>
          <w:szCs w:val="22"/>
          <w:lang w:eastAsia="en-US"/>
        </w:rPr>
      </w:pPr>
    </w:p>
    <w:p w14:paraId="054E41D0"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résident ou son représentant légal demandant ce service gracieux au sein de notre établissement ne renonce pas à son droit fondamental et permanent au libre choix de son pharmacien dispensateur.</w:t>
      </w:r>
    </w:p>
    <w:p w14:paraId="263F8D33" w14:textId="77777777" w:rsidR="00FC2420" w:rsidRPr="00762B41" w:rsidRDefault="00FC2420" w:rsidP="00762B41">
      <w:pPr>
        <w:suppressAutoHyphens/>
        <w:spacing w:after="120"/>
        <w:rPr>
          <w:rFonts w:asciiTheme="majorHAnsi" w:eastAsia="Calibri" w:hAnsiTheme="majorHAnsi" w:cstheme="majorHAnsi"/>
          <w:sz w:val="22"/>
          <w:szCs w:val="22"/>
          <w:lang w:eastAsia="en-US"/>
        </w:rPr>
      </w:pPr>
    </w:p>
    <w:p w14:paraId="6F189FB0"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t>Fait à ……………………………</w:t>
      </w:r>
      <w:r w:rsidR="00ED2A59" w:rsidRPr="00762B41">
        <w:rPr>
          <w:rFonts w:asciiTheme="majorHAnsi" w:eastAsia="Calibri" w:hAnsiTheme="majorHAnsi" w:cstheme="majorHAnsi"/>
          <w:sz w:val="22"/>
          <w:szCs w:val="22"/>
          <w:lang w:eastAsia="en-US"/>
        </w:rPr>
        <w:t>……</w:t>
      </w:r>
      <w:r w:rsidRPr="00762B41">
        <w:rPr>
          <w:rFonts w:asciiTheme="majorHAnsi" w:eastAsia="Calibri" w:hAnsiTheme="majorHAnsi" w:cstheme="majorHAnsi"/>
          <w:sz w:val="22"/>
          <w:szCs w:val="22"/>
          <w:lang w:eastAsia="en-US"/>
        </w:rPr>
        <w:t>.</w:t>
      </w:r>
    </w:p>
    <w:p w14:paraId="1EB30BB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t>Date : ………………………………….</w:t>
      </w:r>
    </w:p>
    <w:p w14:paraId="55D4366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t>Signature :</w:t>
      </w:r>
    </w:p>
    <w:p w14:paraId="4937001A"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5E0BCF9E" w14:textId="77777777" w:rsidR="00FC2420" w:rsidRPr="00762B41" w:rsidRDefault="00FC2420"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br w:type="page"/>
      </w:r>
    </w:p>
    <w:p w14:paraId="2D0A8DD6" w14:textId="05B0CDC6" w:rsidR="002F1372" w:rsidRDefault="002F1372" w:rsidP="00633707">
      <w:pPr>
        <w:pStyle w:val="Titre1"/>
      </w:pPr>
      <w:bookmarkStart w:id="38" w:name="_Toc160615805"/>
      <w:r>
        <w:t>Eléments complémentaires pouvant</w:t>
      </w:r>
      <w:bookmarkEnd w:id="38"/>
      <w:r>
        <w:t xml:space="preserve"> </w:t>
      </w:r>
    </w:p>
    <w:p w14:paraId="0628C901" w14:textId="50497496" w:rsidR="00FC2420" w:rsidRPr="00633707" w:rsidRDefault="002F1372" w:rsidP="00633707">
      <w:pPr>
        <w:pStyle w:val="Titre1"/>
      </w:pPr>
      <w:bookmarkStart w:id="39" w:name="_Toc160615806"/>
      <w:proofErr w:type="gramStart"/>
      <w:r>
        <w:t>faciliter</w:t>
      </w:r>
      <w:proofErr w:type="gramEnd"/>
      <w:r>
        <w:t xml:space="preserve"> l’élaboration de la convention </w:t>
      </w:r>
      <w:r w:rsidRPr="00633707">
        <w:t> </w:t>
      </w:r>
      <w:r w:rsidR="00FC2420" w:rsidRPr="00633707">
        <w:t>:</w:t>
      </w:r>
      <w:bookmarkEnd w:id="39"/>
    </w:p>
    <w:p w14:paraId="65B3CE5A" w14:textId="77777777" w:rsidR="00FC2420" w:rsidRPr="00633707" w:rsidRDefault="00FC2420" w:rsidP="00633707">
      <w:pPr>
        <w:pStyle w:val="Titre1"/>
      </w:pPr>
    </w:p>
    <w:p w14:paraId="3E004C3B" w14:textId="51CEC30B"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 xml:space="preserve">Médecin coordonnateur en </w:t>
      </w:r>
      <w:r w:rsidR="00887929">
        <w:rPr>
          <w:rFonts w:asciiTheme="majorHAnsi" w:eastAsia="Calibri" w:hAnsiTheme="majorHAnsi" w:cstheme="majorHAnsi"/>
          <w:b/>
          <w:sz w:val="22"/>
          <w:szCs w:val="22"/>
          <w:lang w:eastAsia="en-US"/>
        </w:rPr>
        <w:t>ESSMS PH</w:t>
      </w:r>
      <w:r w:rsidRPr="00762B41">
        <w:rPr>
          <w:rFonts w:asciiTheme="majorHAnsi" w:eastAsia="Calibri" w:hAnsiTheme="majorHAnsi" w:cstheme="majorHAnsi"/>
          <w:sz w:val="22"/>
          <w:szCs w:val="22"/>
          <w:lang w:eastAsia="en-US"/>
        </w:rPr>
        <w:t xml:space="preserve"> : est en charge de l’élaboration et du suivi du projet de soins de l’établissement, de l’évaluation médicale des résidents et de l’animation de l’équipe soignante. </w:t>
      </w:r>
      <w:r w:rsidRPr="00762B41">
        <w:rPr>
          <w:rFonts w:asciiTheme="majorHAnsi" w:eastAsia="Calibri" w:hAnsiTheme="majorHAnsi" w:cstheme="majorHAnsi"/>
          <w:color w:val="7030A0"/>
          <w:sz w:val="22"/>
          <w:szCs w:val="22"/>
          <w:lang w:eastAsia="en-US"/>
        </w:rPr>
        <w:t>Il n’est pas le médecin traitant des résidents</w:t>
      </w:r>
      <w:r w:rsidRPr="00762B41">
        <w:rPr>
          <w:rFonts w:asciiTheme="majorHAnsi" w:eastAsia="Calibri" w:hAnsiTheme="majorHAnsi" w:cstheme="majorHAnsi"/>
          <w:sz w:val="22"/>
          <w:szCs w:val="22"/>
          <w:lang w:eastAsia="en-US"/>
        </w:rPr>
        <w:t>. Contrairement au médecin traitant qui s’occupe du suivi médical individuel du résident, le médecin coordonnateur assure la qualité de la prise en charge médicale globale des résidents grâce à ses compétences gérontologiques.</w:t>
      </w:r>
    </w:p>
    <w:p w14:paraId="2C793EBD" w14:textId="77777777" w:rsidR="00FC2420" w:rsidRPr="00762B41" w:rsidRDefault="00BA3DBF" w:rsidP="00762B41">
      <w:pPr>
        <w:suppressAutoHyphens/>
        <w:spacing w:after="120"/>
        <w:jc w:val="both"/>
        <w:rPr>
          <w:rFonts w:asciiTheme="majorHAnsi" w:eastAsia="Calibri" w:hAnsiTheme="majorHAnsi" w:cstheme="majorHAnsi"/>
          <w:sz w:val="22"/>
          <w:szCs w:val="22"/>
          <w:lang w:eastAsia="en-US"/>
        </w:rPr>
      </w:pPr>
      <w:hyperlink r:id="rId12" w:history="1">
        <w:r w:rsidR="00FC2420" w:rsidRPr="00762B41">
          <w:rPr>
            <w:rFonts w:asciiTheme="majorHAnsi" w:eastAsia="Calibri" w:hAnsiTheme="majorHAnsi" w:cstheme="majorHAnsi"/>
            <w:color w:val="0563C1"/>
            <w:sz w:val="22"/>
            <w:szCs w:val="22"/>
            <w:u w:val="single"/>
            <w:lang w:eastAsia="en-US"/>
          </w:rPr>
          <w:t>Le médecin coordonnateur | Pour les personnes âgées (pour-les-personnes-agees.gouv.fr)</w:t>
        </w:r>
      </w:hyperlink>
    </w:p>
    <w:p w14:paraId="4268A13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42FCA80C" w14:textId="40E050BF"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Pharmacien dispensateur</w:t>
      </w:r>
      <w:r w:rsidRPr="00762B41">
        <w:rPr>
          <w:rFonts w:asciiTheme="majorHAnsi" w:eastAsia="Calibri" w:hAnsiTheme="majorHAnsi" w:cstheme="majorHAnsi"/>
          <w:sz w:val="22"/>
          <w:szCs w:val="22"/>
          <w:lang w:eastAsia="en-US"/>
        </w:rPr>
        <w:t xml:space="preserve"> : </w:t>
      </w:r>
      <w:hyperlink r:id="rId13" w:history="1">
        <w:r w:rsidRPr="00762B41">
          <w:rPr>
            <w:rFonts w:asciiTheme="majorHAnsi" w:eastAsia="Calibri" w:hAnsiTheme="majorHAnsi" w:cstheme="majorHAnsi"/>
            <w:color w:val="0563C1"/>
            <w:sz w:val="22"/>
            <w:szCs w:val="22"/>
            <w:u w:val="single"/>
            <w:lang w:eastAsia="en-US"/>
          </w:rPr>
          <w:t>Article L5126-10 - Code de la santé publique - Légifrance (legifrance.gouv.fr)</w:t>
        </w:r>
      </w:hyperlink>
      <w:r w:rsidRPr="00762B41">
        <w:rPr>
          <w:rFonts w:asciiTheme="majorHAnsi" w:eastAsia="Calibri" w:hAnsiTheme="majorHAnsi" w:cstheme="majorHAnsi"/>
          <w:sz w:val="22"/>
          <w:szCs w:val="22"/>
          <w:lang w:eastAsia="en-US"/>
        </w:rPr>
        <w:t xml:space="preserve">, cela concerne chaque résident individuellement (ou son représentant légal) qui conserve le libre choix de son pharmacien </w:t>
      </w:r>
      <w:r w:rsidRPr="0009217A">
        <w:rPr>
          <w:rFonts w:asciiTheme="majorHAnsi" w:eastAsia="Calibri" w:hAnsiTheme="majorHAnsi" w:cstheme="majorHAnsi"/>
          <w:sz w:val="22"/>
          <w:szCs w:val="22"/>
          <w:lang w:eastAsia="en-US"/>
        </w:rPr>
        <w:t>selon l’article L5126-</w:t>
      </w:r>
      <w:r w:rsidR="0009217A" w:rsidRPr="0009217A">
        <w:rPr>
          <w:rFonts w:asciiTheme="majorHAnsi" w:eastAsia="Calibri" w:hAnsiTheme="majorHAnsi" w:cstheme="majorHAnsi"/>
          <w:sz w:val="22"/>
          <w:szCs w:val="22"/>
          <w:lang w:eastAsia="en-US"/>
        </w:rPr>
        <w:t>10</w:t>
      </w:r>
      <w:r w:rsidRPr="0009217A">
        <w:rPr>
          <w:rFonts w:asciiTheme="majorHAnsi" w:eastAsia="Calibri" w:hAnsiTheme="majorHAnsi" w:cstheme="majorHAnsi"/>
          <w:sz w:val="22"/>
          <w:szCs w:val="22"/>
          <w:lang w:eastAsia="en-US"/>
        </w:rPr>
        <w:t xml:space="preserve"> du CSP</w:t>
      </w:r>
      <w:r w:rsidRPr="00762B41">
        <w:rPr>
          <w:rFonts w:asciiTheme="majorHAnsi" w:eastAsia="Calibri" w:hAnsiTheme="majorHAnsi" w:cstheme="majorHAnsi"/>
          <w:sz w:val="22"/>
          <w:szCs w:val="22"/>
          <w:lang w:eastAsia="en-US"/>
        </w:rPr>
        <w:t xml:space="preserve">. </w:t>
      </w:r>
    </w:p>
    <w:p w14:paraId="71C7A6A1" w14:textId="746ACC4A" w:rsidR="009E0815" w:rsidRPr="00762B41" w:rsidRDefault="00155B3C" w:rsidP="00762B41">
      <w:pPr>
        <w:suppressAutoHyphens/>
        <w:spacing w:after="120"/>
        <w:jc w:val="both"/>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t xml:space="preserve"> </w:t>
      </w:r>
    </w:p>
    <w:p w14:paraId="13505944" w14:textId="4AA468E3"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Pharmacien référent </w:t>
      </w:r>
      <w:r w:rsidR="004B6570" w:rsidRPr="004B6570">
        <w:rPr>
          <w:rFonts w:asciiTheme="majorHAnsi" w:eastAsia="Calibri" w:hAnsiTheme="majorHAnsi" w:cstheme="majorHAnsi"/>
          <w:sz w:val="22"/>
          <w:szCs w:val="22"/>
          <w:lang w:eastAsia="en-US"/>
        </w:rPr>
        <w:t>(</w:t>
      </w:r>
      <w:r w:rsidR="004B6570">
        <w:rPr>
          <w:rFonts w:asciiTheme="majorHAnsi" w:eastAsia="Calibri" w:hAnsiTheme="majorHAnsi" w:cstheme="majorHAnsi"/>
          <w:b/>
          <w:sz w:val="22"/>
          <w:szCs w:val="22"/>
          <w:lang w:eastAsia="en-US"/>
        </w:rPr>
        <w:t xml:space="preserve">mentionné spécifiquement pour les EHPAD </w:t>
      </w:r>
      <w:r w:rsidR="00792176" w:rsidRPr="00792176">
        <w:rPr>
          <w:rFonts w:asciiTheme="majorHAnsi" w:eastAsia="Calibri" w:hAnsiTheme="majorHAnsi" w:cstheme="majorHAnsi"/>
          <w:sz w:val="22"/>
          <w:szCs w:val="22"/>
          <w:lang w:eastAsia="en-US"/>
        </w:rPr>
        <w:t xml:space="preserve">dans le </w:t>
      </w:r>
      <w:r w:rsidR="004B6570" w:rsidRPr="004B6570">
        <w:rPr>
          <w:rFonts w:asciiTheme="majorHAnsi" w:eastAsia="Calibri" w:hAnsiTheme="majorHAnsi" w:cstheme="majorHAnsi"/>
          <w:sz w:val="22"/>
          <w:szCs w:val="22"/>
          <w:lang w:eastAsia="en-US"/>
        </w:rPr>
        <w:t xml:space="preserve">paragraphe II </w:t>
      </w:r>
      <w:r w:rsidR="00792176">
        <w:rPr>
          <w:rFonts w:asciiTheme="majorHAnsi" w:eastAsia="Calibri" w:hAnsiTheme="majorHAnsi" w:cstheme="majorHAnsi"/>
          <w:sz w:val="22"/>
          <w:szCs w:val="22"/>
          <w:lang w:eastAsia="en-US"/>
        </w:rPr>
        <w:t xml:space="preserve">du </w:t>
      </w:r>
      <w:r w:rsidR="004B6570" w:rsidRPr="0009217A">
        <w:rPr>
          <w:rFonts w:asciiTheme="majorHAnsi" w:eastAsia="Calibri" w:hAnsiTheme="majorHAnsi" w:cstheme="majorHAnsi"/>
          <w:sz w:val="22"/>
          <w:szCs w:val="22"/>
          <w:lang w:eastAsia="en-US"/>
        </w:rPr>
        <w:t>L5126-10 du CSP</w:t>
      </w:r>
      <w:r w:rsidR="004B6570" w:rsidRPr="004B6570">
        <w:rPr>
          <w:rFonts w:asciiTheme="majorHAnsi" w:eastAsia="Calibri" w:hAnsiTheme="majorHAnsi" w:cstheme="majorHAnsi"/>
          <w:sz w:val="22"/>
          <w:szCs w:val="22"/>
          <w:lang w:eastAsia="en-US"/>
        </w:rPr>
        <w:t>)</w:t>
      </w:r>
      <w:r w:rsidR="004B6570">
        <w:rPr>
          <w:rFonts w:asciiTheme="majorHAnsi" w:eastAsia="Calibri" w:hAnsiTheme="majorHAnsi" w:cstheme="majorHAnsi"/>
          <w:b/>
          <w:sz w:val="22"/>
          <w:szCs w:val="22"/>
          <w:lang w:eastAsia="en-US"/>
        </w:rPr>
        <w:t xml:space="preserve"> pouvant être décliné pour un ESMS PH </w:t>
      </w:r>
      <w:r w:rsidRPr="00762B41">
        <w:rPr>
          <w:rFonts w:asciiTheme="majorHAnsi" w:eastAsia="Calibri" w:hAnsiTheme="majorHAnsi" w:cstheme="majorHAnsi"/>
          <w:b/>
          <w:sz w:val="22"/>
          <w:szCs w:val="22"/>
          <w:lang w:eastAsia="en-US"/>
        </w:rPr>
        <w:t>:</w:t>
      </w:r>
      <w:r w:rsidRPr="00762B41">
        <w:rPr>
          <w:rFonts w:asciiTheme="majorHAnsi" w:eastAsia="Calibri" w:hAnsiTheme="majorHAnsi" w:cstheme="majorHAnsi"/>
          <w:sz w:val="22"/>
          <w:szCs w:val="22"/>
          <w:lang w:eastAsia="en-US"/>
        </w:rPr>
        <w:t xml:space="preserve"> est unique pour la totalité de la structure. Il intervient au sein d’une équipe pluri disciplinaire et apporte toute son expertise dans le domaine du médicament et du dispositif médical. Cela confère au pharmacien référent un large champ d’action, dont nous allons essayer de détailler les missions, sans toutefois préciser son degré d’implication et d’adaptation dans les particularités de sa fonction au sein d’un </w:t>
      </w:r>
      <w:r w:rsidR="00887929">
        <w:rPr>
          <w:rFonts w:asciiTheme="majorHAnsi" w:eastAsia="Calibri" w:hAnsiTheme="majorHAnsi" w:cstheme="majorHAnsi"/>
          <w:sz w:val="22"/>
          <w:szCs w:val="22"/>
          <w:lang w:eastAsia="en-US"/>
        </w:rPr>
        <w:t>EHPAD</w:t>
      </w:r>
      <w:r w:rsidR="00F13C5A" w:rsidRPr="0009217A">
        <w:rPr>
          <w:rFonts w:asciiTheme="majorHAnsi" w:eastAsia="Calibri" w:hAnsiTheme="majorHAnsi" w:cstheme="majorHAnsi"/>
          <w:sz w:val="22"/>
          <w:szCs w:val="22"/>
          <w:lang w:eastAsia="en-US"/>
        </w:rPr>
        <w:t>.</w:t>
      </w:r>
    </w:p>
    <w:p w14:paraId="0C7D330A" w14:textId="30026CD1"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L’article </w:t>
      </w:r>
      <w:r w:rsidR="006107A1" w:rsidRPr="00762B41">
        <w:rPr>
          <w:rFonts w:asciiTheme="majorHAnsi" w:eastAsia="Calibri" w:hAnsiTheme="majorHAnsi" w:cstheme="majorHAnsi"/>
          <w:sz w:val="22"/>
          <w:szCs w:val="22"/>
          <w:lang w:eastAsia="en-US"/>
        </w:rPr>
        <w:t xml:space="preserve">L5126-10 </w:t>
      </w:r>
      <w:r w:rsidRPr="00762B41">
        <w:rPr>
          <w:rFonts w:asciiTheme="majorHAnsi" w:eastAsia="Calibri" w:hAnsiTheme="majorHAnsi" w:cstheme="majorHAnsi"/>
          <w:sz w:val="22"/>
          <w:szCs w:val="22"/>
          <w:lang w:eastAsia="en-US"/>
        </w:rPr>
        <w:t xml:space="preserve">du CSP reprend la notion de pharmacien référent dans sa description des conventions relatives à la fourniture en médicaments des personnes hébergées en </w:t>
      </w:r>
      <w:r w:rsidR="00887929">
        <w:rPr>
          <w:rFonts w:asciiTheme="majorHAnsi" w:eastAsia="Calibri" w:hAnsiTheme="majorHAnsi" w:cstheme="majorHAnsi"/>
          <w:sz w:val="22"/>
          <w:szCs w:val="22"/>
          <w:lang w:eastAsia="en-US"/>
        </w:rPr>
        <w:t>EHPAD</w:t>
      </w:r>
      <w:r w:rsidRPr="00762B41">
        <w:rPr>
          <w:rFonts w:asciiTheme="majorHAnsi" w:eastAsia="Calibri" w:hAnsiTheme="majorHAnsi" w:cstheme="majorHAnsi"/>
          <w:sz w:val="22"/>
          <w:szCs w:val="22"/>
          <w:lang w:eastAsia="en-US"/>
        </w:rPr>
        <w:t xml:space="preserve">. </w:t>
      </w:r>
    </w:p>
    <w:p w14:paraId="3A1BB5FD"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 article précise que la signature d’une convention « désigne un pharmacien d’officine référent pour l’établissement » en précisant cette fois quelques-unes des missions qui p</w:t>
      </w:r>
      <w:r w:rsidR="00633707">
        <w:rPr>
          <w:rFonts w:asciiTheme="majorHAnsi" w:eastAsia="Calibri" w:hAnsiTheme="majorHAnsi" w:cstheme="majorHAnsi"/>
          <w:sz w:val="22"/>
          <w:szCs w:val="22"/>
          <w:lang w:eastAsia="en-US"/>
        </w:rPr>
        <w:t>euvent incomber à ce pharmacien</w:t>
      </w:r>
      <w:r w:rsidRPr="00762B41">
        <w:rPr>
          <w:rFonts w:asciiTheme="majorHAnsi" w:eastAsia="Calibri" w:hAnsiTheme="majorHAnsi" w:cstheme="majorHAnsi"/>
          <w:sz w:val="22"/>
          <w:szCs w:val="22"/>
          <w:lang w:eastAsia="en-US"/>
        </w:rPr>
        <w:t xml:space="preserve">: </w:t>
      </w:r>
    </w:p>
    <w:p w14:paraId="54217CF5" w14:textId="77777777" w:rsidR="00FC2420" w:rsidRPr="00633707" w:rsidRDefault="00FC2420" w:rsidP="00633707">
      <w:pPr>
        <w:pStyle w:val="Paragraphedeliste"/>
        <w:numPr>
          <w:ilvl w:val="0"/>
          <w:numId w:val="19"/>
        </w:numPr>
        <w:suppressAutoHyphens/>
        <w:spacing w:after="120"/>
        <w:rPr>
          <w:rFonts w:asciiTheme="majorHAnsi" w:hAnsiTheme="majorHAnsi" w:cstheme="majorHAnsi"/>
          <w:sz w:val="22"/>
          <w:lang w:eastAsia="en-US"/>
        </w:rPr>
      </w:pPr>
      <w:r w:rsidRPr="00633707">
        <w:rPr>
          <w:rFonts w:asciiTheme="majorHAnsi" w:hAnsiTheme="majorHAnsi" w:cstheme="majorHAnsi"/>
          <w:sz w:val="22"/>
          <w:lang w:eastAsia="en-US"/>
        </w:rPr>
        <w:t xml:space="preserve">Le pharmacien concourt à la bonne gestion et au bon usage des médicaments destinés aux résidents. </w:t>
      </w:r>
    </w:p>
    <w:p w14:paraId="23C398E0" w14:textId="77777777" w:rsidR="00FC2420" w:rsidRPr="00633707" w:rsidRDefault="00FC2420" w:rsidP="00633707">
      <w:pPr>
        <w:pStyle w:val="Paragraphedeliste"/>
        <w:numPr>
          <w:ilvl w:val="0"/>
          <w:numId w:val="19"/>
        </w:numPr>
        <w:suppressAutoHyphens/>
        <w:spacing w:after="120"/>
        <w:rPr>
          <w:rFonts w:asciiTheme="majorHAnsi" w:hAnsiTheme="majorHAnsi" w:cstheme="majorHAnsi"/>
          <w:sz w:val="22"/>
          <w:lang w:eastAsia="en-US"/>
        </w:rPr>
      </w:pPr>
      <w:r w:rsidRPr="00633707">
        <w:rPr>
          <w:rFonts w:asciiTheme="majorHAnsi" w:hAnsiTheme="majorHAnsi" w:cstheme="majorHAnsi"/>
          <w:sz w:val="22"/>
          <w:lang w:eastAsia="en-US"/>
        </w:rPr>
        <w:t>Il collabore avec les médecins traitants et le médecin coordonnateur à l’élaboration de la liste des médicaments à utiliser préférentiellement dans chaque classe pharmaco-thérapeutique.</w:t>
      </w:r>
    </w:p>
    <w:p w14:paraId="21CC82FF" w14:textId="77777777" w:rsidR="00FC2420" w:rsidRPr="00762B41" w:rsidRDefault="00BA3DBF" w:rsidP="00762B41">
      <w:pPr>
        <w:suppressAutoHyphens/>
        <w:spacing w:after="120"/>
        <w:jc w:val="both"/>
        <w:rPr>
          <w:rFonts w:asciiTheme="majorHAnsi" w:eastAsia="Calibri" w:hAnsiTheme="majorHAnsi" w:cstheme="majorHAnsi"/>
          <w:sz w:val="22"/>
          <w:szCs w:val="22"/>
          <w:lang w:eastAsia="en-US"/>
        </w:rPr>
      </w:pPr>
      <w:hyperlink r:id="rId14" w:history="1">
        <w:r w:rsidR="00FC2420" w:rsidRPr="00762B41">
          <w:rPr>
            <w:rFonts w:asciiTheme="majorHAnsi" w:eastAsia="Calibri" w:hAnsiTheme="majorHAnsi" w:cstheme="majorHAnsi"/>
            <w:color w:val="0563C1"/>
            <w:sz w:val="22"/>
            <w:szCs w:val="22"/>
            <w:u w:val="single"/>
            <w:lang w:eastAsia="en-US"/>
          </w:rPr>
          <w:t xml:space="preserve">Le rôle </w:t>
        </w:r>
      </w:hyperlink>
      <w:hyperlink r:id="rId15" w:history="1">
        <w:proofErr w:type="spellStart"/>
        <w:r w:rsidR="00FC2420" w:rsidRPr="00762B41">
          <w:rPr>
            <w:rFonts w:asciiTheme="majorHAnsi" w:eastAsia="Calibri" w:hAnsiTheme="majorHAnsi" w:cstheme="majorHAnsi"/>
            <w:color w:val="0563C1"/>
            <w:sz w:val="22"/>
            <w:szCs w:val="22"/>
            <w:u w:val="single"/>
            <w:lang w:eastAsia="en-US"/>
          </w:rPr>
          <w:t>pro-actif</w:t>
        </w:r>
        <w:proofErr w:type="spellEnd"/>
      </w:hyperlink>
      <w:hyperlink r:id="rId16" w:history="1">
        <w:r w:rsidR="00FC2420" w:rsidRPr="00762B41">
          <w:rPr>
            <w:rFonts w:asciiTheme="majorHAnsi" w:eastAsia="Calibri" w:hAnsiTheme="majorHAnsi" w:cstheme="majorHAnsi"/>
            <w:color w:val="0563C1"/>
            <w:sz w:val="22"/>
            <w:szCs w:val="22"/>
            <w:u w:val="single"/>
            <w:lang w:eastAsia="en-US"/>
          </w:rPr>
          <w:t xml:space="preserve"> du pharmacien d'officine dans les structures médico-sociales de proximité: exemple des EHPAD (Établissements Hébergeant des Personnes Âgées Dépendantes) (cnrs.fr)</w:t>
        </w:r>
      </w:hyperlink>
    </w:p>
    <w:p w14:paraId="3DCA3E43" w14:textId="3F439744" w:rsidR="00FC2420" w:rsidRDefault="00FC2420" w:rsidP="00762B41">
      <w:pPr>
        <w:suppressAutoHyphens/>
        <w:spacing w:after="120"/>
        <w:jc w:val="both"/>
        <w:rPr>
          <w:rFonts w:asciiTheme="majorHAnsi" w:eastAsia="Calibri" w:hAnsiTheme="majorHAnsi" w:cstheme="majorHAnsi"/>
          <w:sz w:val="22"/>
          <w:szCs w:val="22"/>
          <w:lang w:eastAsia="en-US"/>
        </w:rPr>
      </w:pPr>
    </w:p>
    <w:p w14:paraId="1F0EE578" w14:textId="32B7FBCD" w:rsidR="002F1372" w:rsidRPr="00155B3C" w:rsidRDefault="002F1372" w:rsidP="00762B41">
      <w:pPr>
        <w:suppressAutoHyphens/>
        <w:spacing w:after="120"/>
        <w:jc w:val="both"/>
        <w:rPr>
          <w:rFonts w:asciiTheme="majorHAnsi" w:eastAsia="Calibri" w:hAnsiTheme="majorHAnsi" w:cstheme="majorHAnsi"/>
          <w:b/>
          <w:sz w:val="22"/>
          <w:szCs w:val="22"/>
          <w:lang w:eastAsia="en-US"/>
        </w:rPr>
      </w:pPr>
      <w:r w:rsidRPr="00155B3C">
        <w:rPr>
          <w:rFonts w:asciiTheme="majorHAnsi" w:eastAsia="Calibri" w:hAnsiTheme="majorHAnsi" w:cstheme="majorHAnsi"/>
          <w:b/>
          <w:sz w:val="22"/>
          <w:szCs w:val="22"/>
          <w:lang w:eastAsia="en-US"/>
        </w:rPr>
        <w:t xml:space="preserve">Eléments à prendre en compte </w:t>
      </w:r>
      <w:r w:rsidRPr="002F1372">
        <w:rPr>
          <w:rFonts w:asciiTheme="majorHAnsi" w:eastAsia="Calibri" w:hAnsiTheme="majorHAnsi" w:cstheme="majorHAnsi"/>
          <w:b/>
          <w:sz w:val="22"/>
          <w:szCs w:val="22"/>
          <w:lang w:eastAsia="en-US"/>
        </w:rPr>
        <w:t>concernant</w:t>
      </w:r>
      <w:r w:rsidRPr="00155B3C">
        <w:rPr>
          <w:rFonts w:asciiTheme="majorHAnsi" w:eastAsia="Calibri" w:hAnsiTheme="majorHAnsi" w:cstheme="majorHAnsi"/>
          <w:b/>
          <w:sz w:val="22"/>
          <w:szCs w:val="22"/>
          <w:lang w:eastAsia="en-US"/>
        </w:rPr>
        <w:t xml:space="preserve"> la PDA</w:t>
      </w:r>
    </w:p>
    <w:p w14:paraId="6BC35FE1" w14:textId="77777777" w:rsidR="002F1372" w:rsidRPr="00762B41" w:rsidRDefault="002F1372" w:rsidP="002F1372">
      <w:pPr>
        <w:widowControl w:val="0"/>
        <w:suppressAutoHyphens/>
        <w:ind w:right="158"/>
        <w:jc w:val="both"/>
        <w:rPr>
          <w:rFonts w:asciiTheme="majorHAnsi" w:hAnsiTheme="majorHAnsi" w:cstheme="majorHAnsi"/>
          <w:sz w:val="18"/>
          <w:szCs w:val="18"/>
        </w:rPr>
      </w:pPr>
      <w:r w:rsidRPr="00762B41">
        <w:rPr>
          <w:rFonts w:asciiTheme="majorHAnsi" w:eastAsia="Calibri" w:hAnsiTheme="majorHAnsi" w:cstheme="majorHAnsi"/>
          <w:sz w:val="22"/>
          <w:szCs w:val="22"/>
          <w:lang w:eastAsia="en-US"/>
        </w:rPr>
        <w:t>Au regard des besoins énoncés par l’</w:t>
      </w:r>
      <w:r>
        <w:rPr>
          <w:rFonts w:asciiTheme="majorHAnsi" w:eastAsia="Calibri" w:hAnsiTheme="majorHAnsi" w:cstheme="majorHAnsi"/>
          <w:sz w:val="22"/>
          <w:szCs w:val="22"/>
          <w:lang w:eastAsia="en-US"/>
        </w:rPr>
        <w:t>ESSMS PH</w:t>
      </w:r>
      <w:r w:rsidRPr="00762B41">
        <w:rPr>
          <w:rFonts w:asciiTheme="majorHAnsi" w:eastAsia="Calibri" w:hAnsiTheme="majorHAnsi" w:cstheme="majorHAnsi"/>
          <w:sz w:val="22"/>
          <w:szCs w:val="22"/>
          <w:lang w:eastAsia="en-US"/>
        </w:rPr>
        <w:t>, du type de prestation de PDA proposé par le pharmacien d’officine, de la réglementation applicable et selon les caractéristiques du traitement, les parties contractantes :</w:t>
      </w:r>
      <w:r w:rsidRPr="00762B41">
        <w:rPr>
          <w:rFonts w:asciiTheme="majorHAnsi" w:hAnsiTheme="majorHAnsi" w:cstheme="majorHAnsi"/>
          <w:sz w:val="18"/>
          <w:szCs w:val="18"/>
        </w:rPr>
        <w:t xml:space="preserve"> </w:t>
      </w:r>
    </w:p>
    <w:p w14:paraId="41423C5D" w14:textId="77777777" w:rsidR="002F1372" w:rsidRPr="00762B41" w:rsidRDefault="002F1372" w:rsidP="002F1372">
      <w:pPr>
        <w:widowControl w:val="0"/>
        <w:suppressAutoHyphens/>
        <w:ind w:right="158"/>
        <w:jc w:val="both"/>
        <w:rPr>
          <w:rFonts w:asciiTheme="majorHAnsi" w:eastAsia="Calibri" w:hAnsiTheme="majorHAnsi" w:cstheme="majorHAnsi"/>
          <w:sz w:val="22"/>
          <w:szCs w:val="22"/>
          <w:lang w:eastAsia="en-US"/>
        </w:rPr>
      </w:pPr>
    </w:p>
    <w:p w14:paraId="25129EEB" w14:textId="77777777" w:rsidR="002F1372" w:rsidRPr="00762B41" w:rsidRDefault="002F1372" w:rsidP="002F1372">
      <w:pPr>
        <w:pStyle w:val="Paragraphedeliste"/>
        <w:widowControl w:val="0"/>
        <w:numPr>
          <w:ilvl w:val="0"/>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 xml:space="preserve">S’accordent sur une méthode de PDA (en cohérence avec le nombre de </w:t>
      </w:r>
      <w:r w:rsidRPr="00762B41">
        <w:rPr>
          <w:rFonts w:asciiTheme="majorHAnsi" w:hAnsiTheme="majorHAnsi" w:cstheme="majorHAnsi"/>
          <w:szCs w:val="24"/>
        </w:rPr>
        <w:t>résidents</w:t>
      </w:r>
      <w:r w:rsidRPr="00762B41">
        <w:rPr>
          <w:rFonts w:asciiTheme="majorHAnsi" w:hAnsiTheme="majorHAnsi" w:cstheme="majorHAnsi"/>
          <w:sz w:val="22"/>
          <w:lang w:eastAsia="en-US"/>
        </w:rPr>
        <w:t xml:space="preserve"> de l’</w:t>
      </w:r>
      <w:r>
        <w:rPr>
          <w:rFonts w:asciiTheme="majorHAnsi" w:hAnsiTheme="majorHAnsi" w:cstheme="majorHAnsi"/>
          <w:sz w:val="22"/>
          <w:lang w:eastAsia="en-US"/>
        </w:rPr>
        <w:t>ESSMS PH</w:t>
      </w:r>
      <w:r w:rsidRPr="00762B41">
        <w:rPr>
          <w:rFonts w:asciiTheme="majorHAnsi" w:hAnsiTheme="majorHAnsi" w:cstheme="majorHAnsi"/>
          <w:sz w:val="22"/>
          <w:lang w:eastAsia="en-US"/>
        </w:rPr>
        <w:t>, le lieu de la PDA, les capacités logistiques de l’officine, le nombre de spécialités préférentiellement prescrites, la politique de l’</w:t>
      </w:r>
      <w:r>
        <w:rPr>
          <w:rFonts w:asciiTheme="majorHAnsi" w:hAnsiTheme="majorHAnsi" w:cstheme="majorHAnsi"/>
          <w:sz w:val="22"/>
          <w:lang w:eastAsia="en-US"/>
        </w:rPr>
        <w:t>ESSMS PH</w:t>
      </w:r>
      <w:r w:rsidRPr="00762B41">
        <w:rPr>
          <w:rFonts w:asciiTheme="majorHAnsi" w:hAnsiTheme="majorHAnsi" w:cstheme="majorHAnsi"/>
          <w:sz w:val="22"/>
          <w:lang w:eastAsia="en-US"/>
        </w:rPr>
        <w:t xml:space="preserve"> relative à la PECM, le système d’information), ainsi que sur :</w:t>
      </w:r>
    </w:p>
    <w:p w14:paraId="56675CC2" w14:textId="77777777" w:rsidR="002F1372" w:rsidRPr="00762B41" w:rsidRDefault="002F1372" w:rsidP="002F1372">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Les modalités de préparation (locaux, personnels, formation système qualité) ;</w:t>
      </w:r>
    </w:p>
    <w:p w14:paraId="565E71F1" w14:textId="77777777" w:rsidR="002F1372" w:rsidRPr="00762B41" w:rsidRDefault="002F1372" w:rsidP="002F1372">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Le périmètre des médicaments concernés par une PDA automatisée ou non ;</w:t>
      </w:r>
    </w:p>
    <w:p w14:paraId="004600DF" w14:textId="77777777" w:rsidR="002F1372" w:rsidRPr="00762B41" w:rsidRDefault="002F1372" w:rsidP="002F1372">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 xml:space="preserve">La présentation des médicaments dans le dispositif prévu pour l’administration (pilulier, « escargot ») ; son étiquetage (données lisibles et indélébiles à mentionner sur le conditionnement des doses préparées : identifiant le résident (nom, prénom, date de naissance +/- photo du résident) et son lieu d’hébergement ; identifiant le médicament (nom, dosage, quantité, +/- description (forme, couleur…) +/- recommandations de bon usage (écrasement, avant ou après repas), +/- une date limite d’utilisation….) ; la date et l'heure de prise ; identifiant l’officine +/- la date et l’heure de production du sachet) et précisant l’intégration de compartiments vides pour matérialiser l’absence de prise ou les prises médicamenteuses des spécialités « hors piluliers ». </w:t>
      </w:r>
    </w:p>
    <w:p w14:paraId="189C2815" w14:textId="77777777" w:rsidR="002F1372" w:rsidRPr="00762B41" w:rsidRDefault="002F1372" w:rsidP="002F1372">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Les contrôles qualité (type de contrôles effectués et modalités de traçabilité de ces derniers).</w:t>
      </w:r>
    </w:p>
    <w:p w14:paraId="39BA6288" w14:textId="77777777" w:rsidR="002F1372" w:rsidRPr="00762B41" w:rsidRDefault="002F1372" w:rsidP="002F1372">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lang w:eastAsia="en-US"/>
        </w:rPr>
        <w:t xml:space="preserve">S’appuient sur  les recommandations proposées dans le </w:t>
      </w:r>
      <w:hyperlink r:id="rId17">
        <w:r w:rsidRPr="00762B41">
          <w:rPr>
            <w:rFonts w:asciiTheme="majorHAnsi" w:hAnsiTheme="majorHAnsi" w:cstheme="majorHAnsi"/>
            <w:sz w:val="22"/>
            <w:u w:val="single"/>
            <w:lang w:eastAsia="en-US"/>
          </w:rPr>
          <w:t xml:space="preserve">Guide pour la préparation des doses à administrer (PDA) en </w:t>
        </w:r>
        <w:r>
          <w:rPr>
            <w:rFonts w:asciiTheme="majorHAnsi" w:hAnsiTheme="majorHAnsi" w:cstheme="majorHAnsi"/>
            <w:sz w:val="22"/>
            <w:u w:val="single"/>
            <w:lang w:eastAsia="en-US"/>
          </w:rPr>
          <w:t>ESSMS PH</w:t>
        </w:r>
        <w:r w:rsidRPr="00762B41">
          <w:rPr>
            <w:rFonts w:asciiTheme="majorHAnsi" w:hAnsiTheme="majorHAnsi" w:cstheme="majorHAnsi"/>
            <w:sz w:val="22"/>
            <w:u w:val="single"/>
            <w:lang w:eastAsia="en-US"/>
          </w:rPr>
          <w:t xml:space="preserve"> et autres ESMS</w:t>
        </w:r>
      </w:hyperlink>
    </w:p>
    <w:p w14:paraId="2026C613" w14:textId="0A9FE6B9" w:rsidR="00F01F43" w:rsidRPr="00762B41" w:rsidRDefault="00F01F43" w:rsidP="00762B41">
      <w:pPr>
        <w:rPr>
          <w:rFonts w:asciiTheme="majorHAnsi" w:hAnsiTheme="majorHAnsi" w:cstheme="majorHAnsi"/>
        </w:rPr>
      </w:pPr>
      <w:bookmarkStart w:id="40" w:name="_GoBack"/>
      <w:bookmarkEnd w:id="40"/>
    </w:p>
    <w:sectPr w:rsidR="00F01F43" w:rsidRPr="00762B41" w:rsidSect="00E94D04">
      <w:footerReference w:type="default" r:id="rId18"/>
      <w:pgSz w:w="11906" w:h="16838"/>
      <w:pgMar w:top="971" w:right="991"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1BA082" w14:textId="77777777" w:rsidR="00BA3DBF" w:rsidRDefault="00BA3DBF" w:rsidP="00E152B2">
      <w:r>
        <w:separator/>
      </w:r>
    </w:p>
  </w:endnote>
  <w:endnote w:type="continuationSeparator" w:id="0">
    <w:p w14:paraId="264ABBAC" w14:textId="77777777" w:rsidR="00BA3DBF" w:rsidRDefault="00BA3DBF" w:rsidP="00E15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arianne">
    <w:panose1 w:val="02000000000000000000"/>
    <w:charset w:val="00"/>
    <w:family w:val="auto"/>
    <w:pitch w:val="variable"/>
    <w:sig w:usb0="0000000F"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2418542"/>
      <w:docPartObj>
        <w:docPartGallery w:val="Page Numbers (Bottom of Page)"/>
        <w:docPartUnique/>
      </w:docPartObj>
    </w:sdtPr>
    <w:sdtContent>
      <w:p w14:paraId="58A2E4AA" w14:textId="4C7CD569" w:rsidR="00BA3DBF" w:rsidRDefault="00BA3DBF">
        <w:pPr>
          <w:pStyle w:val="Pieddepage"/>
          <w:jc w:val="right"/>
        </w:pPr>
        <w:r>
          <w:fldChar w:fldCharType="begin"/>
        </w:r>
        <w:r>
          <w:instrText>PAGE   \* MERGEFORMAT</w:instrText>
        </w:r>
        <w:r>
          <w:fldChar w:fldCharType="separate"/>
        </w:r>
        <w:r w:rsidR="007830D9">
          <w:rPr>
            <w:noProof/>
          </w:rPr>
          <w:t>13</w:t>
        </w:r>
        <w:r>
          <w:fldChar w:fldCharType="end"/>
        </w:r>
      </w:p>
    </w:sdtContent>
  </w:sdt>
  <w:p w14:paraId="7606E460" w14:textId="77777777" w:rsidR="00BA3DBF" w:rsidRDefault="00BA3DB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DD9D97" w14:textId="77777777" w:rsidR="00BA3DBF" w:rsidRDefault="00BA3DBF" w:rsidP="00E152B2">
      <w:r>
        <w:separator/>
      </w:r>
    </w:p>
  </w:footnote>
  <w:footnote w:type="continuationSeparator" w:id="0">
    <w:p w14:paraId="423293C9" w14:textId="77777777" w:rsidR="00BA3DBF" w:rsidRDefault="00BA3DBF" w:rsidP="00E152B2">
      <w:r>
        <w:continuationSeparator/>
      </w:r>
    </w:p>
  </w:footnote>
  <w:footnote w:id="1">
    <w:p w14:paraId="75C889C3" w14:textId="35F105FD" w:rsidR="00BA3DBF" w:rsidRDefault="00BA3DBF" w:rsidP="00E152B2">
      <w:pPr>
        <w:pStyle w:val="Commentaire"/>
        <w:spacing w:after="0"/>
        <w:rPr>
          <w:sz w:val="16"/>
          <w:szCs w:val="16"/>
        </w:rPr>
      </w:pPr>
      <w:r w:rsidRPr="00911953">
        <w:rPr>
          <w:rStyle w:val="Caractresdenotedebasdepage"/>
          <w:vertAlign w:val="superscript"/>
        </w:rPr>
        <w:footnoteRef/>
      </w:r>
      <w:r w:rsidRPr="00911953">
        <w:rPr>
          <w:sz w:val="16"/>
          <w:szCs w:val="16"/>
          <w:vertAlign w:val="superscript"/>
        </w:rPr>
        <w:t xml:space="preserve"> </w:t>
      </w:r>
      <w:r>
        <w:rPr>
          <w:sz w:val="16"/>
          <w:szCs w:val="16"/>
        </w:rPr>
        <w:t xml:space="preserve">Elaboration à partir de la </w:t>
      </w:r>
      <w:hyperlink r:id="rId1">
        <w:r>
          <w:rPr>
            <w:rStyle w:val="LienInternet"/>
            <w:sz w:val="16"/>
            <w:szCs w:val="16"/>
          </w:rPr>
          <w:t>circulaire DGAS/2C/DSS/1C/CNASA/CNAMTS n°2009-340 du 10 novembre 2009 et son Annexe III « Projet arrêté convention type V9 »</w:t>
        </w:r>
      </w:hyperlink>
      <w:r>
        <w:rPr>
          <w:sz w:val="16"/>
          <w:szCs w:val="16"/>
        </w:rPr>
        <w:t xml:space="preserve"> et de modèles type de convention en vigueur en Ile-de-France entre les ESMS PH et les pharmacies d’officine.</w:t>
      </w:r>
    </w:p>
  </w:footnote>
  <w:footnote w:id="2">
    <w:p w14:paraId="2959F6B3" w14:textId="0B626C28" w:rsidR="00BA3DBF" w:rsidRDefault="00BA3DBF">
      <w:pPr>
        <w:pStyle w:val="Notedebasdepage"/>
      </w:pPr>
      <w:r>
        <w:rPr>
          <w:rStyle w:val="Appelnotedebasdep"/>
        </w:rPr>
        <w:footnoteRef/>
      </w:r>
      <w:r>
        <w:t xml:space="preserve"> </w:t>
      </w:r>
      <w:r>
        <w:rPr>
          <w:color w:val="000000" w:themeColor="text1"/>
          <w:sz w:val="16"/>
          <w:szCs w:val="16"/>
        </w:rPr>
        <w:t xml:space="preserve">Délais indiqués à titre d’exemple. Ces derniers doivent être définis entre </w:t>
      </w:r>
      <w:r w:rsidRPr="009B25A4">
        <w:rPr>
          <w:color w:val="000000" w:themeColor="text1"/>
          <w:sz w:val="16"/>
          <w:szCs w:val="16"/>
        </w:rPr>
        <w:t>l’</w:t>
      </w:r>
      <w:r>
        <w:rPr>
          <w:color w:val="000000" w:themeColor="text1"/>
          <w:sz w:val="16"/>
          <w:szCs w:val="16"/>
        </w:rPr>
        <w:t>ESSMS PH et l’officine et adaptés aux organisations.</w:t>
      </w:r>
    </w:p>
  </w:footnote>
  <w:footnote w:id="3">
    <w:p w14:paraId="5F8E61FE" w14:textId="68EECDE6" w:rsidR="00BA3DBF" w:rsidRPr="00E77039" w:rsidRDefault="00BA3DBF" w:rsidP="00E77039">
      <w:pPr>
        <w:pStyle w:val="En-tte"/>
        <w:rPr>
          <w:rFonts w:asciiTheme="majorHAnsi" w:hAnsiTheme="majorHAnsi"/>
          <w:sz w:val="16"/>
          <w:szCs w:val="16"/>
        </w:rPr>
      </w:pPr>
      <w:r>
        <w:rPr>
          <w:rStyle w:val="Appelnotedebasdep"/>
        </w:rPr>
        <w:footnoteRef/>
      </w:r>
      <w:r>
        <w:t xml:space="preserve"> </w:t>
      </w:r>
      <w:r w:rsidRPr="009B25A4">
        <w:rPr>
          <w:rFonts w:asciiTheme="majorHAnsi" w:hAnsiTheme="majorHAnsi"/>
          <w:sz w:val="16"/>
          <w:szCs w:val="16"/>
        </w:rPr>
        <w:t xml:space="preserve">Mise à disposition dans la </w:t>
      </w:r>
      <w:hyperlink r:id="rId2" w:history="1">
        <w:r w:rsidRPr="00887929">
          <w:rPr>
            <w:rStyle w:val="Lienhypertexte"/>
            <w:rFonts w:asciiTheme="majorHAnsi" w:hAnsiTheme="majorHAnsi"/>
            <w:sz w:val="16"/>
            <w:szCs w:val="16"/>
          </w:rPr>
          <w:t>« Boite à outils régionale – ESSMS Handicap</w:t>
        </w:r>
      </w:hyperlink>
      <w:r>
        <w:rPr>
          <w:rStyle w:val="Lienhypertexte"/>
          <w:rFonts w:asciiTheme="majorHAnsi" w:hAnsiTheme="majorHAnsi"/>
          <w:sz w:val="16"/>
          <w:szCs w:val="16"/>
        </w:rPr>
        <w:t xml:space="preserve"> </w:t>
      </w:r>
      <w:r w:rsidRPr="009B25A4">
        <w:rPr>
          <w:rFonts w:asciiTheme="majorHAnsi" w:hAnsiTheme="majorHAnsi"/>
          <w:sz w:val="16"/>
          <w:szCs w:val="16"/>
        </w:rPr>
        <w:t xml:space="preserve">» </w:t>
      </w:r>
      <w:r>
        <w:rPr>
          <w:rFonts w:asciiTheme="majorHAnsi" w:hAnsiTheme="majorHAnsi"/>
          <w:sz w:val="16"/>
          <w:szCs w:val="16"/>
        </w:rPr>
        <w:t>d’une fiche de fonction « </w:t>
      </w:r>
      <w:r w:rsidRPr="00E77039">
        <w:rPr>
          <w:rFonts w:asciiTheme="majorHAnsi" w:hAnsiTheme="majorHAnsi"/>
          <w:sz w:val="16"/>
          <w:szCs w:val="16"/>
        </w:rPr>
        <w:t>Référent Prise en charge médicamenteuse »</w:t>
      </w:r>
    </w:p>
    <w:p w14:paraId="7B5A0A6A" w14:textId="5F2477D3" w:rsidR="00BA3DBF" w:rsidRPr="00887929" w:rsidRDefault="00BA3DBF">
      <w:pPr>
        <w:pStyle w:val="Notedebasdepage"/>
        <w:rPr>
          <w:rStyle w:val="Appelnotedebasdep"/>
          <w:rFonts w:eastAsiaTheme="majorEastAsia" w:cstheme="majorBidi"/>
          <w:szCs w:val="24"/>
        </w:rPr>
      </w:pPr>
      <w:r>
        <w:rPr>
          <w:rFonts w:asciiTheme="majorHAnsi" w:hAnsiTheme="majorHAnsi"/>
          <w:sz w:val="16"/>
          <w:szCs w:val="16"/>
        </w:rPr>
        <w:t xml:space="preserve"> et </w:t>
      </w:r>
      <w:r w:rsidRPr="009B25A4">
        <w:rPr>
          <w:rFonts w:asciiTheme="majorHAnsi" w:hAnsiTheme="majorHAnsi"/>
          <w:sz w:val="16"/>
          <w:szCs w:val="16"/>
        </w:rPr>
        <w:t>du guide « Qualité de la prise en charge médicamenteuse en</w:t>
      </w:r>
      <w:r>
        <w:rPr>
          <w:rFonts w:asciiTheme="majorHAnsi" w:hAnsiTheme="majorHAnsi"/>
          <w:sz w:val="16"/>
          <w:szCs w:val="16"/>
        </w:rPr>
        <w:t xml:space="preserve"> MAS FAM EEAP</w:t>
      </w:r>
      <w:r w:rsidRPr="009B25A4">
        <w:rPr>
          <w:rFonts w:asciiTheme="majorHAnsi" w:hAnsiTheme="majorHAnsi"/>
          <w:sz w:val="16"/>
          <w:szCs w:val="16"/>
        </w:rPr>
        <w:t xml:space="preserve"> dont : Fiche « Dotations</w:t>
      </w:r>
      <w:r>
        <w:rPr>
          <w:rFonts w:asciiTheme="majorHAnsi" w:hAnsiTheme="majorHAnsi"/>
          <w:sz w:val="16"/>
          <w:szCs w:val="16"/>
        </w:rPr>
        <w:t xml:space="preserve"> pour besoins urgents », Fiche </w:t>
      </w:r>
      <w:r w:rsidRPr="009B25A4">
        <w:rPr>
          <w:rFonts w:asciiTheme="majorHAnsi" w:hAnsiTheme="majorHAnsi"/>
          <w:sz w:val="16"/>
          <w:szCs w:val="16"/>
        </w:rPr>
        <w:t>« Exemple de chariot de médicaments d’urgence et Fiche de fonction référent médicaments</w:t>
      </w:r>
      <w:hyperlink r:id="rId3" w:history="1"/>
      <w:r w:rsidRPr="009B25A4">
        <w:rPr>
          <w:rFonts w:asciiTheme="majorHAnsi" w:hAnsiTheme="majorHAnsi"/>
          <w:sz w:val="16"/>
          <w:szCs w:val="16"/>
        </w:rPr>
        <w:t xml:space="preserve">. Guide à retrouver via le lien suivant : </w:t>
      </w:r>
      <w:hyperlink r:id="rId4" w:history="1">
        <w:r w:rsidRPr="00887929">
          <w:rPr>
            <w:rStyle w:val="Lienhypertexte"/>
            <w:rFonts w:asciiTheme="minorHAnsi" w:eastAsiaTheme="majorEastAsia" w:hAnsiTheme="minorHAnsi" w:cstheme="minorHAnsi"/>
            <w:sz w:val="16"/>
            <w:szCs w:val="16"/>
          </w:rPr>
          <w:t>Handicap (omedit-normandie.fr)</w:t>
        </w:r>
      </w:hyperlink>
      <w:r w:rsidRPr="00887929">
        <w:rPr>
          <w:rFonts w:asciiTheme="minorHAnsi" w:hAnsiTheme="minorHAnsi" w:cstheme="minorHAnsi"/>
          <w:sz w:val="16"/>
          <w:szCs w:val="16"/>
        </w:rPr>
        <w:t xml:space="preserve"> </w:t>
      </w:r>
      <w:hyperlink r:id="rId5" w:history="1"/>
    </w:p>
  </w:footnote>
  <w:footnote w:id="4">
    <w:p w14:paraId="4B99F5F1" w14:textId="202177C9" w:rsidR="00BA3DBF" w:rsidRPr="00E94D04" w:rsidRDefault="00BA3DBF">
      <w:pPr>
        <w:pStyle w:val="Notedebasdepage"/>
        <w:rPr>
          <w:rFonts w:asciiTheme="majorHAnsi" w:hAnsiTheme="majorHAnsi"/>
          <w:sz w:val="16"/>
          <w:szCs w:val="16"/>
        </w:rPr>
      </w:pPr>
      <w:r>
        <w:rPr>
          <w:rStyle w:val="Appelnotedebasdep"/>
        </w:rPr>
        <w:footnoteRef/>
      </w:r>
      <w:r>
        <w:t xml:space="preserve"> </w:t>
      </w:r>
      <w:r w:rsidRPr="00E94D04">
        <w:rPr>
          <w:rFonts w:asciiTheme="majorHAnsi" w:hAnsiTheme="majorHAnsi"/>
          <w:sz w:val="16"/>
          <w:szCs w:val="16"/>
        </w:rPr>
        <w:t>Article</w:t>
      </w:r>
      <w:r>
        <w:rPr>
          <w:rFonts w:asciiTheme="majorHAnsi" w:hAnsiTheme="majorHAnsi"/>
          <w:sz w:val="16"/>
          <w:szCs w:val="16"/>
        </w:rPr>
        <w:t xml:space="preserve"> optionnel : le p</w:t>
      </w:r>
      <w:r w:rsidRPr="00E94D04">
        <w:rPr>
          <w:rFonts w:asciiTheme="majorHAnsi" w:hAnsiTheme="majorHAnsi"/>
          <w:sz w:val="16"/>
          <w:szCs w:val="16"/>
        </w:rPr>
        <w:t xml:space="preserve">harmacien référent </w:t>
      </w:r>
      <w:r>
        <w:rPr>
          <w:rFonts w:asciiTheme="majorHAnsi" w:hAnsiTheme="majorHAnsi"/>
          <w:sz w:val="16"/>
          <w:szCs w:val="16"/>
        </w:rPr>
        <w:t xml:space="preserve">étant spécifiquement mentionné pour les </w:t>
      </w:r>
      <w:r w:rsidRPr="00E94D04">
        <w:rPr>
          <w:rFonts w:asciiTheme="majorHAnsi" w:hAnsiTheme="majorHAnsi"/>
          <w:sz w:val="16"/>
          <w:szCs w:val="16"/>
        </w:rPr>
        <w:t>établissements mentionnés au 6° du I de </w:t>
      </w:r>
      <w:hyperlink r:id="rId6" w:tooltip="Code de l" w:history="1">
        <w:r w:rsidRPr="00E94D04">
          <w:rPr>
            <w:rStyle w:val="Lienhypertexte"/>
            <w:rFonts w:asciiTheme="majorHAnsi" w:hAnsiTheme="majorHAnsi"/>
            <w:sz w:val="16"/>
            <w:szCs w:val="16"/>
          </w:rPr>
          <w:t>l'article L. 312-1 </w:t>
        </w:r>
      </w:hyperlink>
      <w:r>
        <w:rPr>
          <w:rFonts w:asciiTheme="majorHAnsi" w:hAnsiTheme="majorHAnsi"/>
          <w:sz w:val="16"/>
          <w:szCs w:val="16"/>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00A30"/>
    <w:multiLevelType w:val="multilevel"/>
    <w:tmpl w:val="23DE57B2"/>
    <w:lvl w:ilvl="0">
      <w:start w:val="1"/>
      <w:numFmt w:val="bullet"/>
      <w:lvlText w:val="-"/>
      <w:lvlJc w:val="left"/>
      <w:pPr>
        <w:ind w:left="360" w:hanging="360"/>
      </w:pPr>
      <w:rPr>
        <w:rFonts w:ascii="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3E05E3D"/>
    <w:multiLevelType w:val="hybridMultilevel"/>
    <w:tmpl w:val="4C4EB8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E76E1C"/>
    <w:multiLevelType w:val="hybridMultilevel"/>
    <w:tmpl w:val="E99CC9D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BED14AA"/>
    <w:multiLevelType w:val="hybridMultilevel"/>
    <w:tmpl w:val="CF6AA232"/>
    <w:lvl w:ilvl="0" w:tplc="6D4EE2D6">
      <w:numFmt w:val="bullet"/>
      <w:lvlText w:val="-"/>
      <w:lvlJc w:val="left"/>
      <w:pPr>
        <w:ind w:left="408" w:hanging="360"/>
      </w:pPr>
      <w:rPr>
        <w:rFonts w:ascii="Calibri Light" w:eastAsia="Calibr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35F3EB7"/>
    <w:multiLevelType w:val="hybridMultilevel"/>
    <w:tmpl w:val="6AD4B4AC"/>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 w15:restartNumberingAfterBreak="0">
    <w:nsid w:val="28CF4A2E"/>
    <w:multiLevelType w:val="hybridMultilevel"/>
    <w:tmpl w:val="B40237C8"/>
    <w:lvl w:ilvl="0" w:tplc="6D4EE2D6">
      <w:numFmt w:val="bullet"/>
      <w:lvlText w:val="-"/>
      <w:lvlJc w:val="left"/>
      <w:pPr>
        <w:ind w:left="408" w:hanging="360"/>
      </w:pPr>
      <w:rPr>
        <w:rFonts w:ascii="Calibri Light" w:eastAsia="Calibri" w:hAnsi="Calibri Light" w:cs="Calibri Light" w:hint="default"/>
      </w:rPr>
    </w:lvl>
    <w:lvl w:ilvl="1" w:tplc="040C0003">
      <w:start w:val="1"/>
      <w:numFmt w:val="bullet"/>
      <w:lvlText w:val="o"/>
      <w:lvlJc w:val="left"/>
      <w:pPr>
        <w:ind w:left="1128" w:hanging="360"/>
      </w:pPr>
      <w:rPr>
        <w:rFonts w:ascii="Courier New" w:hAnsi="Courier New" w:cs="Courier New" w:hint="default"/>
      </w:rPr>
    </w:lvl>
    <w:lvl w:ilvl="2" w:tplc="040C0005" w:tentative="1">
      <w:start w:val="1"/>
      <w:numFmt w:val="bullet"/>
      <w:lvlText w:val=""/>
      <w:lvlJc w:val="left"/>
      <w:pPr>
        <w:ind w:left="1848" w:hanging="360"/>
      </w:pPr>
      <w:rPr>
        <w:rFonts w:ascii="Wingdings" w:hAnsi="Wingdings" w:hint="default"/>
      </w:rPr>
    </w:lvl>
    <w:lvl w:ilvl="3" w:tplc="040C0001" w:tentative="1">
      <w:start w:val="1"/>
      <w:numFmt w:val="bullet"/>
      <w:lvlText w:val=""/>
      <w:lvlJc w:val="left"/>
      <w:pPr>
        <w:ind w:left="2568" w:hanging="360"/>
      </w:pPr>
      <w:rPr>
        <w:rFonts w:ascii="Symbol" w:hAnsi="Symbol" w:hint="default"/>
      </w:rPr>
    </w:lvl>
    <w:lvl w:ilvl="4" w:tplc="040C0003" w:tentative="1">
      <w:start w:val="1"/>
      <w:numFmt w:val="bullet"/>
      <w:lvlText w:val="o"/>
      <w:lvlJc w:val="left"/>
      <w:pPr>
        <w:ind w:left="3288" w:hanging="360"/>
      </w:pPr>
      <w:rPr>
        <w:rFonts w:ascii="Courier New" w:hAnsi="Courier New" w:cs="Courier New" w:hint="default"/>
      </w:rPr>
    </w:lvl>
    <w:lvl w:ilvl="5" w:tplc="040C0005" w:tentative="1">
      <w:start w:val="1"/>
      <w:numFmt w:val="bullet"/>
      <w:lvlText w:val=""/>
      <w:lvlJc w:val="left"/>
      <w:pPr>
        <w:ind w:left="4008" w:hanging="360"/>
      </w:pPr>
      <w:rPr>
        <w:rFonts w:ascii="Wingdings" w:hAnsi="Wingdings" w:hint="default"/>
      </w:rPr>
    </w:lvl>
    <w:lvl w:ilvl="6" w:tplc="040C0001" w:tentative="1">
      <w:start w:val="1"/>
      <w:numFmt w:val="bullet"/>
      <w:lvlText w:val=""/>
      <w:lvlJc w:val="left"/>
      <w:pPr>
        <w:ind w:left="4728" w:hanging="360"/>
      </w:pPr>
      <w:rPr>
        <w:rFonts w:ascii="Symbol" w:hAnsi="Symbol" w:hint="default"/>
      </w:rPr>
    </w:lvl>
    <w:lvl w:ilvl="7" w:tplc="040C0003" w:tentative="1">
      <w:start w:val="1"/>
      <w:numFmt w:val="bullet"/>
      <w:lvlText w:val="o"/>
      <w:lvlJc w:val="left"/>
      <w:pPr>
        <w:ind w:left="5448" w:hanging="360"/>
      </w:pPr>
      <w:rPr>
        <w:rFonts w:ascii="Courier New" w:hAnsi="Courier New" w:cs="Courier New" w:hint="default"/>
      </w:rPr>
    </w:lvl>
    <w:lvl w:ilvl="8" w:tplc="040C0005" w:tentative="1">
      <w:start w:val="1"/>
      <w:numFmt w:val="bullet"/>
      <w:lvlText w:val=""/>
      <w:lvlJc w:val="left"/>
      <w:pPr>
        <w:ind w:left="6168" w:hanging="360"/>
      </w:pPr>
      <w:rPr>
        <w:rFonts w:ascii="Wingdings" w:hAnsi="Wingdings" w:hint="default"/>
      </w:rPr>
    </w:lvl>
  </w:abstractNum>
  <w:abstractNum w:abstractNumId="6" w15:restartNumberingAfterBreak="0">
    <w:nsid w:val="2B9A7FCF"/>
    <w:multiLevelType w:val="hybridMultilevel"/>
    <w:tmpl w:val="E4F888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994281"/>
    <w:multiLevelType w:val="hybridMultilevel"/>
    <w:tmpl w:val="193466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A1037E3"/>
    <w:multiLevelType w:val="multilevel"/>
    <w:tmpl w:val="92184EA2"/>
    <w:lvl w:ilvl="0">
      <w:start w:val="1"/>
      <w:numFmt w:val="bullet"/>
      <w:lvlText w:val=""/>
      <w:lvlJc w:val="left"/>
      <w:pPr>
        <w:ind w:left="360" w:hanging="360"/>
      </w:pPr>
      <w:rPr>
        <w:rFonts w:ascii="Symbol" w:hAnsi="Symbol" w:cs="Symbol" w:hint="default"/>
        <w:sz w:val="20"/>
        <w:szCs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3FDB05DC"/>
    <w:multiLevelType w:val="multilevel"/>
    <w:tmpl w:val="11506706"/>
    <w:lvl w:ilvl="0">
      <w:start w:val="1"/>
      <w:numFmt w:val="bullet"/>
      <w:lvlText w:val=""/>
      <w:lvlJc w:val="left"/>
      <w:pPr>
        <w:ind w:left="360" w:hanging="360"/>
      </w:pPr>
      <w:rPr>
        <w:rFonts w:ascii="Symbol" w:hAnsi="Symbol" w:cs="Symbol" w:hint="default"/>
        <w:sz w:val="22"/>
        <w:szCs w:val="2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4D614EED"/>
    <w:multiLevelType w:val="hybridMultilevel"/>
    <w:tmpl w:val="4E404B00"/>
    <w:lvl w:ilvl="0" w:tplc="6D4EE2D6">
      <w:numFmt w:val="bullet"/>
      <w:lvlText w:val="-"/>
      <w:lvlJc w:val="left"/>
      <w:pPr>
        <w:ind w:left="408" w:hanging="360"/>
      </w:pPr>
      <w:rPr>
        <w:rFonts w:ascii="Calibri Light" w:eastAsia="Calibr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1F612A1"/>
    <w:multiLevelType w:val="hybridMultilevel"/>
    <w:tmpl w:val="DFAC81E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9334619"/>
    <w:multiLevelType w:val="hybridMultilevel"/>
    <w:tmpl w:val="EF622E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09509C3"/>
    <w:multiLevelType w:val="hybridMultilevel"/>
    <w:tmpl w:val="5964EE9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62871887"/>
    <w:multiLevelType w:val="hybridMultilevel"/>
    <w:tmpl w:val="523EAA14"/>
    <w:lvl w:ilvl="0" w:tplc="6D4EE2D6">
      <w:numFmt w:val="bullet"/>
      <w:lvlText w:val="-"/>
      <w:lvlJc w:val="left"/>
      <w:pPr>
        <w:ind w:left="408" w:hanging="360"/>
      </w:pPr>
      <w:rPr>
        <w:rFonts w:ascii="Calibri Light" w:eastAsia="Calibr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69D51E6"/>
    <w:multiLevelType w:val="hybridMultilevel"/>
    <w:tmpl w:val="43629224"/>
    <w:lvl w:ilvl="0" w:tplc="1A9C2E16">
      <w:start w:val="1"/>
      <w:numFmt w:val="bullet"/>
      <w:lvlText w:val="-"/>
      <w:lvlJc w:val="left"/>
      <w:pPr>
        <w:tabs>
          <w:tab w:val="num" w:pos="720"/>
        </w:tabs>
        <w:ind w:left="720" w:hanging="360"/>
      </w:pPr>
      <w:rPr>
        <w:rFonts w:ascii="Times New Roman" w:hAnsi="Times New Roman" w:hint="default"/>
      </w:rPr>
    </w:lvl>
    <w:lvl w:ilvl="1" w:tplc="81F40B22" w:tentative="1">
      <w:start w:val="1"/>
      <w:numFmt w:val="bullet"/>
      <w:lvlText w:val="-"/>
      <w:lvlJc w:val="left"/>
      <w:pPr>
        <w:tabs>
          <w:tab w:val="num" w:pos="1440"/>
        </w:tabs>
        <w:ind w:left="1440" w:hanging="360"/>
      </w:pPr>
      <w:rPr>
        <w:rFonts w:ascii="Times New Roman" w:hAnsi="Times New Roman" w:hint="default"/>
      </w:rPr>
    </w:lvl>
    <w:lvl w:ilvl="2" w:tplc="554CD032" w:tentative="1">
      <w:start w:val="1"/>
      <w:numFmt w:val="bullet"/>
      <w:lvlText w:val="-"/>
      <w:lvlJc w:val="left"/>
      <w:pPr>
        <w:tabs>
          <w:tab w:val="num" w:pos="2160"/>
        </w:tabs>
        <w:ind w:left="2160" w:hanging="360"/>
      </w:pPr>
      <w:rPr>
        <w:rFonts w:ascii="Times New Roman" w:hAnsi="Times New Roman" w:hint="default"/>
      </w:rPr>
    </w:lvl>
    <w:lvl w:ilvl="3" w:tplc="8A7EA884" w:tentative="1">
      <w:start w:val="1"/>
      <w:numFmt w:val="bullet"/>
      <w:lvlText w:val="-"/>
      <w:lvlJc w:val="left"/>
      <w:pPr>
        <w:tabs>
          <w:tab w:val="num" w:pos="2880"/>
        </w:tabs>
        <w:ind w:left="2880" w:hanging="360"/>
      </w:pPr>
      <w:rPr>
        <w:rFonts w:ascii="Times New Roman" w:hAnsi="Times New Roman" w:hint="default"/>
      </w:rPr>
    </w:lvl>
    <w:lvl w:ilvl="4" w:tplc="54D62F2E" w:tentative="1">
      <w:start w:val="1"/>
      <w:numFmt w:val="bullet"/>
      <w:lvlText w:val="-"/>
      <w:lvlJc w:val="left"/>
      <w:pPr>
        <w:tabs>
          <w:tab w:val="num" w:pos="3600"/>
        </w:tabs>
        <w:ind w:left="3600" w:hanging="360"/>
      </w:pPr>
      <w:rPr>
        <w:rFonts w:ascii="Times New Roman" w:hAnsi="Times New Roman" w:hint="default"/>
      </w:rPr>
    </w:lvl>
    <w:lvl w:ilvl="5" w:tplc="7F9E78F8" w:tentative="1">
      <w:start w:val="1"/>
      <w:numFmt w:val="bullet"/>
      <w:lvlText w:val="-"/>
      <w:lvlJc w:val="left"/>
      <w:pPr>
        <w:tabs>
          <w:tab w:val="num" w:pos="4320"/>
        </w:tabs>
        <w:ind w:left="4320" w:hanging="360"/>
      </w:pPr>
      <w:rPr>
        <w:rFonts w:ascii="Times New Roman" w:hAnsi="Times New Roman" w:hint="default"/>
      </w:rPr>
    </w:lvl>
    <w:lvl w:ilvl="6" w:tplc="1FC4205C" w:tentative="1">
      <w:start w:val="1"/>
      <w:numFmt w:val="bullet"/>
      <w:lvlText w:val="-"/>
      <w:lvlJc w:val="left"/>
      <w:pPr>
        <w:tabs>
          <w:tab w:val="num" w:pos="5040"/>
        </w:tabs>
        <w:ind w:left="5040" w:hanging="360"/>
      </w:pPr>
      <w:rPr>
        <w:rFonts w:ascii="Times New Roman" w:hAnsi="Times New Roman" w:hint="default"/>
      </w:rPr>
    </w:lvl>
    <w:lvl w:ilvl="7" w:tplc="E872FC6C" w:tentative="1">
      <w:start w:val="1"/>
      <w:numFmt w:val="bullet"/>
      <w:lvlText w:val="-"/>
      <w:lvlJc w:val="left"/>
      <w:pPr>
        <w:tabs>
          <w:tab w:val="num" w:pos="5760"/>
        </w:tabs>
        <w:ind w:left="5760" w:hanging="360"/>
      </w:pPr>
      <w:rPr>
        <w:rFonts w:ascii="Times New Roman" w:hAnsi="Times New Roman" w:hint="default"/>
      </w:rPr>
    </w:lvl>
    <w:lvl w:ilvl="8" w:tplc="72CC81AA"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66CA2043"/>
    <w:multiLevelType w:val="hybridMultilevel"/>
    <w:tmpl w:val="92508E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353"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A7009ED"/>
    <w:multiLevelType w:val="multilevel"/>
    <w:tmpl w:val="F08247F2"/>
    <w:lvl w:ilvl="0">
      <w:start w:val="1"/>
      <w:numFmt w:val="bullet"/>
      <w:lvlText w:val=""/>
      <w:lvlJc w:val="left"/>
      <w:pPr>
        <w:ind w:left="36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6F2B0C9F"/>
    <w:multiLevelType w:val="multilevel"/>
    <w:tmpl w:val="B262E608"/>
    <w:lvl w:ilvl="0">
      <w:start w:val="1"/>
      <w:numFmt w:val="bullet"/>
      <w:lvlText w:val="-"/>
      <w:lvlJc w:val="left"/>
      <w:pPr>
        <w:ind w:left="360" w:hanging="360"/>
      </w:pPr>
      <w:rPr>
        <w:rFonts w:ascii="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9" w15:restartNumberingAfterBreak="0">
    <w:nsid w:val="705A0FC1"/>
    <w:multiLevelType w:val="hybridMultilevel"/>
    <w:tmpl w:val="0B120C5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7F5358E4"/>
    <w:multiLevelType w:val="multilevel"/>
    <w:tmpl w:val="DDB4FD6E"/>
    <w:lvl w:ilvl="0">
      <w:start w:val="1"/>
      <w:numFmt w:val="bullet"/>
      <w:lvlText w:val=""/>
      <w:lvlJc w:val="left"/>
      <w:pPr>
        <w:ind w:left="360" w:hanging="360"/>
      </w:pPr>
      <w:rPr>
        <w:rFonts w:ascii="Symbol" w:hAnsi="Symbol" w:cs="Symbol" w:hint="default"/>
        <w:sz w:val="20"/>
        <w:szCs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7"/>
      <w:numFmt w:val="bullet"/>
      <w:lvlText w:val="-"/>
      <w:lvlJc w:val="left"/>
      <w:pPr>
        <w:ind w:left="2520" w:hanging="360"/>
      </w:pPr>
      <w:rPr>
        <w:rFonts w:ascii="Calibri" w:hAnsi="Calibri" w:cs="Times New Roman"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1" w15:restartNumberingAfterBreak="0">
    <w:nsid w:val="7FD90448"/>
    <w:multiLevelType w:val="hybridMultilevel"/>
    <w:tmpl w:val="45764A0E"/>
    <w:lvl w:ilvl="0" w:tplc="040C000F">
      <w:start w:val="1"/>
      <w:numFmt w:val="decimal"/>
      <w:lvlText w:val="%1."/>
      <w:lvlJc w:val="left"/>
      <w:pPr>
        <w:ind w:left="370" w:hanging="360"/>
      </w:pPr>
    </w:lvl>
    <w:lvl w:ilvl="1" w:tplc="040C0019" w:tentative="1">
      <w:start w:val="1"/>
      <w:numFmt w:val="lowerLetter"/>
      <w:lvlText w:val="%2."/>
      <w:lvlJc w:val="left"/>
      <w:pPr>
        <w:ind w:left="1090" w:hanging="360"/>
      </w:pPr>
    </w:lvl>
    <w:lvl w:ilvl="2" w:tplc="040C001B" w:tentative="1">
      <w:start w:val="1"/>
      <w:numFmt w:val="lowerRoman"/>
      <w:lvlText w:val="%3."/>
      <w:lvlJc w:val="right"/>
      <w:pPr>
        <w:ind w:left="1810" w:hanging="180"/>
      </w:pPr>
    </w:lvl>
    <w:lvl w:ilvl="3" w:tplc="040C000F" w:tentative="1">
      <w:start w:val="1"/>
      <w:numFmt w:val="decimal"/>
      <w:lvlText w:val="%4."/>
      <w:lvlJc w:val="left"/>
      <w:pPr>
        <w:ind w:left="2530" w:hanging="360"/>
      </w:pPr>
    </w:lvl>
    <w:lvl w:ilvl="4" w:tplc="040C0019" w:tentative="1">
      <w:start w:val="1"/>
      <w:numFmt w:val="lowerLetter"/>
      <w:lvlText w:val="%5."/>
      <w:lvlJc w:val="left"/>
      <w:pPr>
        <w:ind w:left="3250" w:hanging="360"/>
      </w:pPr>
    </w:lvl>
    <w:lvl w:ilvl="5" w:tplc="040C001B" w:tentative="1">
      <w:start w:val="1"/>
      <w:numFmt w:val="lowerRoman"/>
      <w:lvlText w:val="%6."/>
      <w:lvlJc w:val="right"/>
      <w:pPr>
        <w:ind w:left="3970" w:hanging="180"/>
      </w:pPr>
    </w:lvl>
    <w:lvl w:ilvl="6" w:tplc="040C000F" w:tentative="1">
      <w:start w:val="1"/>
      <w:numFmt w:val="decimal"/>
      <w:lvlText w:val="%7."/>
      <w:lvlJc w:val="left"/>
      <w:pPr>
        <w:ind w:left="4690" w:hanging="360"/>
      </w:pPr>
    </w:lvl>
    <w:lvl w:ilvl="7" w:tplc="040C0019" w:tentative="1">
      <w:start w:val="1"/>
      <w:numFmt w:val="lowerLetter"/>
      <w:lvlText w:val="%8."/>
      <w:lvlJc w:val="left"/>
      <w:pPr>
        <w:ind w:left="5410" w:hanging="360"/>
      </w:pPr>
    </w:lvl>
    <w:lvl w:ilvl="8" w:tplc="040C001B" w:tentative="1">
      <w:start w:val="1"/>
      <w:numFmt w:val="lowerRoman"/>
      <w:lvlText w:val="%9."/>
      <w:lvlJc w:val="right"/>
      <w:pPr>
        <w:ind w:left="6130" w:hanging="180"/>
      </w:pPr>
    </w:lvl>
  </w:abstractNum>
  <w:num w:numId="1">
    <w:abstractNumId w:val="20"/>
  </w:num>
  <w:num w:numId="2">
    <w:abstractNumId w:val="0"/>
  </w:num>
  <w:num w:numId="3">
    <w:abstractNumId w:val="18"/>
  </w:num>
  <w:num w:numId="4">
    <w:abstractNumId w:val="9"/>
  </w:num>
  <w:num w:numId="5">
    <w:abstractNumId w:val="8"/>
  </w:num>
  <w:num w:numId="6">
    <w:abstractNumId w:val="17"/>
  </w:num>
  <w:num w:numId="7">
    <w:abstractNumId w:val="15"/>
  </w:num>
  <w:num w:numId="8">
    <w:abstractNumId w:val="16"/>
  </w:num>
  <w:num w:numId="9">
    <w:abstractNumId w:val="21"/>
  </w:num>
  <w:num w:numId="10">
    <w:abstractNumId w:val="1"/>
  </w:num>
  <w:num w:numId="11">
    <w:abstractNumId w:val="6"/>
  </w:num>
  <w:num w:numId="12">
    <w:abstractNumId w:val="11"/>
  </w:num>
  <w:num w:numId="13">
    <w:abstractNumId w:val="5"/>
  </w:num>
  <w:num w:numId="14">
    <w:abstractNumId w:val="14"/>
  </w:num>
  <w:num w:numId="15">
    <w:abstractNumId w:val="3"/>
  </w:num>
  <w:num w:numId="16">
    <w:abstractNumId w:val="10"/>
  </w:num>
  <w:num w:numId="17">
    <w:abstractNumId w:val="19"/>
  </w:num>
  <w:num w:numId="18">
    <w:abstractNumId w:val="13"/>
  </w:num>
  <w:num w:numId="19">
    <w:abstractNumId w:val="7"/>
  </w:num>
  <w:num w:numId="20">
    <w:abstractNumId w:val="4"/>
  </w:num>
  <w:num w:numId="21">
    <w:abstractNumId w:val="2"/>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65E"/>
    <w:rsid w:val="00022EEC"/>
    <w:rsid w:val="0009217A"/>
    <w:rsid w:val="00092338"/>
    <w:rsid w:val="000A184C"/>
    <w:rsid w:val="000A1FC2"/>
    <w:rsid w:val="000C1D9A"/>
    <w:rsid w:val="00154743"/>
    <w:rsid w:val="00155B3C"/>
    <w:rsid w:val="00181398"/>
    <w:rsid w:val="001D16FD"/>
    <w:rsid w:val="001E0EFE"/>
    <w:rsid w:val="0020150B"/>
    <w:rsid w:val="002735C3"/>
    <w:rsid w:val="00280A2D"/>
    <w:rsid w:val="00297010"/>
    <w:rsid w:val="002A67A7"/>
    <w:rsid w:val="002F1372"/>
    <w:rsid w:val="0038195A"/>
    <w:rsid w:val="003A665E"/>
    <w:rsid w:val="003C2079"/>
    <w:rsid w:val="00402DE1"/>
    <w:rsid w:val="00414831"/>
    <w:rsid w:val="00414B55"/>
    <w:rsid w:val="00425CFD"/>
    <w:rsid w:val="00484041"/>
    <w:rsid w:val="004B63A5"/>
    <w:rsid w:val="004B6570"/>
    <w:rsid w:val="00502C7D"/>
    <w:rsid w:val="0054481D"/>
    <w:rsid w:val="00582F27"/>
    <w:rsid w:val="005B3A9D"/>
    <w:rsid w:val="005F501E"/>
    <w:rsid w:val="006107A1"/>
    <w:rsid w:val="006166EE"/>
    <w:rsid w:val="00633707"/>
    <w:rsid w:val="00637B89"/>
    <w:rsid w:val="00664B4B"/>
    <w:rsid w:val="00671E29"/>
    <w:rsid w:val="00680324"/>
    <w:rsid w:val="006A4274"/>
    <w:rsid w:val="006D5AC2"/>
    <w:rsid w:val="00710FE3"/>
    <w:rsid w:val="00727BF3"/>
    <w:rsid w:val="0074143F"/>
    <w:rsid w:val="00762B41"/>
    <w:rsid w:val="0077225B"/>
    <w:rsid w:val="00773EB7"/>
    <w:rsid w:val="007830D9"/>
    <w:rsid w:val="00792176"/>
    <w:rsid w:val="007A149C"/>
    <w:rsid w:val="007A692D"/>
    <w:rsid w:val="007B2450"/>
    <w:rsid w:val="007E0762"/>
    <w:rsid w:val="00887929"/>
    <w:rsid w:val="0089418B"/>
    <w:rsid w:val="008A11E9"/>
    <w:rsid w:val="0091008D"/>
    <w:rsid w:val="00924CF3"/>
    <w:rsid w:val="009B25A4"/>
    <w:rsid w:val="009C7CA5"/>
    <w:rsid w:val="009E0815"/>
    <w:rsid w:val="009E3942"/>
    <w:rsid w:val="009E751A"/>
    <w:rsid w:val="009F7FA2"/>
    <w:rsid w:val="00A00494"/>
    <w:rsid w:val="00A73E66"/>
    <w:rsid w:val="00A74512"/>
    <w:rsid w:val="00AB4F73"/>
    <w:rsid w:val="00AF6B98"/>
    <w:rsid w:val="00B14FF9"/>
    <w:rsid w:val="00B210BB"/>
    <w:rsid w:val="00BA3DBF"/>
    <w:rsid w:val="00BA6902"/>
    <w:rsid w:val="00BE01E5"/>
    <w:rsid w:val="00D51B60"/>
    <w:rsid w:val="00D63B3F"/>
    <w:rsid w:val="00D7501E"/>
    <w:rsid w:val="00D75461"/>
    <w:rsid w:val="00D86CA0"/>
    <w:rsid w:val="00D90B75"/>
    <w:rsid w:val="00DB1B9D"/>
    <w:rsid w:val="00DB5E8C"/>
    <w:rsid w:val="00E06390"/>
    <w:rsid w:val="00E152B2"/>
    <w:rsid w:val="00E77039"/>
    <w:rsid w:val="00E85AAD"/>
    <w:rsid w:val="00E94D04"/>
    <w:rsid w:val="00ED2A59"/>
    <w:rsid w:val="00ED430F"/>
    <w:rsid w:val="00F01F43"/>
    <w:rsid w:val="00F13C5A"/>
    <w:rsid w:val="00F26A9D"/>
    <w:rsid w:val="00F60E99"/>
    <w:rsid w:val="00F81612"/>
    <w:rsid w:val="00FC2420"/>
    <w:rsid w:val="00FD05BA"/>
    <w:rsid w:val="00FE1A50"/>
    <w:rsid w:val="00FF71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DDA4A8"/>
  <w15:chartTrackingRefBased/>
  <w15:docId w15:val="{C2A030B1-B83B-4CB8-BFC3-B22FDE534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512"/>
    <w:rPr>
      <w:rFonts w:ascii="Marianne" w:hAnsi="Marianne" w:cs="Arial"/>
      <w:sz w:val="20"/>
      <w:szCs w:val="20"/>
      <w:lang w:eastAsia="fr-FR"/>
    </w:rPr>
  </w:style>
  <w:style w:type="paragraph" w:styleId="Titre1">
    <w:name w:val="heading 1"/>
    <w:basedOn w:val="Normal"/>
    <w:next w:val="Normal"/>
    <w:link w:val="Titre1Car"/>
    <w:uiPriority w:val="9"/>
    <w:qFormat/>
    <w:rsid w:val="009F7FA2"/>
    <w:pPr>
      <w:keepNext/>
      <w:keepLines/>
      <w:jc w:val="center"/>
      <w:outlineLvl w:val="0"/>
    </w:pPr>
    <w:rPr>
      <w:rFonts w:asciiTheme="majorHAnsi" w:eastAsiaTheme="majorEastAsia" w:hAnsiTheme="majorHAnsi" w:cstheme="majorBidi"/>
      <w:b/>
      <w:bCs/>
      <w:color w:val="2E74B5" w:themeColor="accent1" w:themeShade="BF"/>
      <w:sz w:val="36"/>
      <w:szCs w:val="28"/>
    </w:rPr>
  </w:style>
  <w:style w:type="paragraph" w:styleId="Titre2">
    <w:name w:val="heading 2"/>
    <w:basedOn w:val="Normal"/>
    <w:next w:val="Normal"/>
    <w:link w:val="Titre2Car"/>
    <w:uiPriority w:val="9"/>
    <w:unhideWhenUsed/>
    <w:qFormat/>
    <w:rsid w:val="009F7FA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9F7FA2"/>
    <w:pPr>
      <w:keepNext/>
      <w:keepLines/>
      <w:spacing w:before="40"/>
      <w:ind w:left="708"/>
      <w:outlineLvl w:val="2"/>
    </w:pPr>
    <w:rPr>
      <w:rFonts w:eastAsiaTheme="majorEastAsia" w:cstheme="majorBidi"/>
      <w:color w:val="1F4D78" w:themeColor="accent1" w:themeShade="7F"/>
      <w:szCs w:val="24"/>
    </w:rPr>
  </w:style>
  <w:style w:type="paragraph" w:styleId="Titre4">
    <w:name w:val="heading 4"/>
    <w:basedOn w:val="Normal"/>
    <w:next w:val="Normal"/>
    <w:link w:val="Titre4Car"/>
    <w:uiPriority w:val="9"/>
    <w:unhideWhenUsed/>
    <w:qFormat/>
    <w:rsid w:val="009F7FA2"/>
    <w:pPr>
      <w:keepNext/>
      <w:keepLines/>
      <w:tabs>
        <w:tab w:val="left" w:pos="540"/>
        <w:tab w:val="left" w:pos="1080"/>
        <w:tab w:val="left" w:pos="1418"/>
        <w:tab w:val="left" w:pos="1620"/>
        <w:tab w:val="left" w:pos="1980"/>
      </w:tabs>
      <w:spacing w:before="200" w:after="120" w:line="259" w:lineRule="auto"/>
      <w:ind w:left="1080"/>
      <w:outlineLvl w:val="3"/>
    </w:pPr>
    <w:rPr>
      <w:rFonts w:eastAsiaTheme="majorEastAsia" w:cstheme="majorBidi"/>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F7FA2"/>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9F7FA2"/>
    <w:rPr>
      <w:rFonts w:ascii="Marianne" w:eastAsiaTheme="majorEastAsia" w:hAnsi="Marianne" w:cstheme="majorBidi"/>
      <w:color w:val="1F4D78" w:themeColor="accent1" w:themeShade="7F"/>
      <w:sz w:val="20"/>
      <w:szCs w:val="24"/>
    </w:rPr>
  </w:style>
  <w:style w:type="character" w:customStyle="1" w:styleId="Titre1Car">
    <w:name w:val="Titre 1 Car"/>
    <w:basedOn w:val="Policepardfaut"/>
    <w:link w:val="Titre1"/>
    <w:uiPriority w:val="9"/>
    <w:rsid w:val="009F7FA2"/>
    <w:rPr>
      <w:rFonts w:asciiTheme="majorHAnsi" w:eastAsiaTheme="majorEastAsia" w:hAnsiTheme="majorHAnsi" w:cstheme="majorBidi"/>
      <w:b/>
      <w:bCs/>
      <w:color w:val="2E74B5" w:themeColor="accent1" w:themeShade="BF"/>
      <w:sz w:val="36"/>
      <w:szCs w:val="28"/>
    </w:rPr>
  </w:style>
  <w:style w:type="character" w:customStyle="1" w:styleId="Titre4Car">
    <w:name w:val="Titre 4 Car"/>
    <w:basedOn w:val="Policepardfaut"/>
    <w:link w:val="Titre4"/>
    <w:uiPriority w:val="9"/>
    <w:rsid w:val="009F7FA2"/>
    <w:rPr>
      <w:rFonts w:ascii="Marianne" w:eastAsiaTheme="majorEastAsia" w:hAnsi="Marianne" w:cstheme="majorBidi"/>
      <w:bCs/>
      <w:i/>
      <w:iCs/>
      <w:sz w:val="20"/>
    </w:rPr>
  </w:style>
  <w:style w:type="paragraph" w:styleId="En-tte">
    <w:name w:val="header"/>
    <w:basedOn w:val="Normal"/>
    <w:link w:val="En-tteCar"/>
    <w:uiPriority w:val="99"/>
    <w:unhideWhenUsed/>
    <w:rsid w:val="00E152B2"/>
    <w:pPr>
      <w:tabs>
        <w:tab w:val="center" w:pos="4536"/>
        <w:tab w:val="right" w:pos="9072"/>
      </w:tabs>
    </w:pPr>
  </w:style>
  <w:style w:type="character" w:customStyle="1" w:styleId="En-tteCar">
    <w:name w:val="En-tête Car"/>
    <w:basedOn w:val="Policepardfaut"/>
    <w:link w:val="En-tte"/>
    <w:uiPriority w:val="99"/>
    <w:rsid w:val="00E152B2"/>
    <w:rPr>
      <w:rFonts w:ascii="Marianne" w:hAnsi="Marianne" w:cs="Arial"/>
      <w:sz w:val="20"/>
      <w:szCs w:val="20"/>
      <w:lang w:eastAsia="fr-FR"/>
    </w:rPr>
  </w:style>
  <w:style w:type="paragraph" w:styleId="Pieddepage">
    <w:name w:val="footer"/>
    <w:basedOn w:val="Normal"/>
    <w:link w:val="PieddepageCar"/>
    <w:uiPriority w:val="99"/>
    <w:unhideWhenUsed/>
    <w:rsid w:val="00E152B2"/>
    <w:pPr>
      <w:tabs>
        <w:tab w:val="center" w:pos="4536"/>
        <w:tab w:val="right" w:pos="9072"/>
      </w:tabs>
    </w:pPr>
  </w:style>
  <w:style w:type="character" w:customStyle="1" w:styleId="PieddepageCar">
    <w:name w:val="Pied de page Car"/>
    <w:basedOn w:val="Policepardfaut"/>
    <w:link w:val="Pieddepage"/>
    <w:uiPriority w:val="99"/>
    <w:rsid w:val="00E152B2"/>
    <w:rPr>
      <w:rFonts w:ascii="Marianne" w:hAnsi="Marianne" w:cs="Arial"/>
      <w:sz w:val="20"/>
      <w:szCs w:val="20"/>
      <w:lang w:eastAsia="fr-FR"/>
    </w:rPr>
  </w:style>
  <w:style w:type="table" w:styleId="Grilledutableau">
    <w:name w:val="Table Grid"/>
    <w:basedOn w:val="TableauNormal"/>
    <w:uiPriority w:val="39"/>
    <w:rsid w:val="00E152B2"/>
    <w:pPr>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aireCar">
    <w:name w:val="Commentaire Car"/>
    <w:basedOn w:val="Policepardfaut"/>
    <w:link w:val="Commentaire"/>
    <w:uiPriority w:val="99"/>
    <w:qFormat/>
    <w:rsid w:val="00E152B2"/>
    <w:rPr>
      <w:sz w:val="20"/>
      <w:szCs w:val="20"/>
    </w:rPr>
  </w:style>
  <w:style w:type="character" w:customStyle="1" w:styleId="LienInternet">
    <w:name w:val="Lien Internet"/>
    <w:basedOn w:val="Policepardfaut"/>
    <w:uiPriority w:val="99"/>
    <w:unhideWhenUsed/>
    <w:rsid w:val="00E152B2"/>
    <w:rPr>
      <w:color w:val="0563C1"/>
      <w:u w:val="single"/>
    </w:rPr>
  </w:style>
  <w:style w:type="character" w:customStyle="1" w:styleId="Caractresdenotedebasdepage">
    <w:name w:val="Caractères de note de bas de page"/>
    <w:qFormat/>
    <w:rsid w:val="00E152B2"/>
  </w:style>
  <w:style w:type="paragraph" w:styleId="Commentaire">
    <w:name w:val="annotation text"/>
    <w:basedOn w:val="Normal"/>
    <w:link w:val="CommentaireCar"/>
    <w:uiPriority w:val="99"/>
    <w:unhideWhenUsed/>
    <w:qFormat/>
    <w:rsid w:val="00E152B2"/>
    <w:pPr>
      <w:suppressAutoHyphens/>
      <w:spacing w:after="120"/>
    </w:pPr>
    <w:rPr>
      <w:rFonts w:asciiTheme="minorHAnsi" w:hAnsiTheme="minorHAnsi" w:cstheme="minorBidi"/>
      <w:lang w:eastAsia="en-US"/>
    </w:rPr>
  </w:style>
  <w:style w:type="character" w:customStyle="1" w:styleId="CommentaireCar1">
    <w:name w:val="Commentaire Car1"/>
    <w:basedOn w:val="Policepardfaut"/>
    <w:uiPriority w:val="99"/>
    <w:semiHidden/>
    <w:rsid w:val="00E152B2"/>
    <w:rPr>
      <w:rFonts w:ascii="Marianne" w:hAnsi="Marianne" w:cs="Arial"/>
      <w:sz w:val="20"/>
      <w:szCs w:val="20"/>
      <w:lang w:eastAsia="fr-FR"/>
    </w:rPr>
  </w:style>
  <w:style w:type="paragraph" w:styleId="En-ttedetabledesmatires">
    <w:name w:val="TOC Heading"/>
    <w:basedOn w:val="Titre1"/>
    <w:next w:val="Normal"/>
    <w:uiPriority w:val="39"/>
    <w:unhideWhenUsed/>
    <w:qFormat/>
    <w:rsid w:val="00E152B2"/>
    <w:pPr>
      <w:spacing w:before="240" w:line="259" w:lineRule="auto"/>
      <w:jc w:val="left"/>
      <w:outlineLvl w:val="9"/>
    </w:pPr>
    <w:rPr>
      <w:b w:val="0"/>
      <w:bCs w:val="0"/>
      <w:sz w:val="32"/>
      <w:szCs w:val="32"/>
    </w:rPr>
  </w:style>
  <w:style w:type="character" w:styleId="Marquedecommentaire">
    <w:name w:val="annotation reference"/>
    <w:basedOn w:val="Policepardfaut"/>
    <w:uiPriority w:val="99"/>
    <w:semiHidden/>
    <w:unhideWhenUsed/>
    <w:qFormat/>
    <w:rsid w:val="00E152B2"/>
    <w:rPr>
      <w:sz w:val="16"/>
      <w:szCs w:val="16"/>
    </w:rPr>
  </w:style>
  <w:style w:type="paragraph" w:styleId="Textedebulles">
    <w:name w:val="Balloon Text"/>
    <w:basedOn w:val="Normal"/>
    <w:link w:val="TextedebullesCar"/>
    <w:uiPriority w:val="99"/>
    <w:semiHidden/>
    <w:unhideWhenUsed/>
    <w:rsid w:val="00E152B2"/>
    <w:rPr>
      <w:rFonts w:ascii="Segoe UI" w:hAnsi="Segoe UI" w:cs="Segoe UI"/>
      <w:sz w:val="18"/>
      <w:szCs w:val="18"/>
    </w:rPr>
  </w:style>
  <w:style w:type="character" w:customStyle="1" w:styleId="TextedebullesCar">
    <w:name w:val="Texte de bulles Car"/>
    <w:basedOn w:val="Policepardfaut"/>
    <w:link w:val="Textedebulles"/>
    <w:uiPriority w:val="99"/>
    <w:semiHidden/>
    <w:rsid w:val="00E152B2"/>
    <w:rPr>
      <w:rFonts w:ascii="Segoe UI" w:hAnsi="Segoe UI" w:cs="Segoe UI"/>
      <w:sz w:val="18"/>
      <w:szCs w:val="18"/>
      <w:lang w:eastAsia="fr-FR"/>
    </w:rPr>
  </w:style>
  <w:style w:type="paragraph" w:styleId="TM1">
    <w:name w:val="toc 1"/>
    <w:basedOn w:val="Normal"/>
    <w:next w:val="Normal"/>
    <w:autoRedefine/>
    <w:uiPriority w:val="39"/>
    <w:unhideWhenUsed/>
    <w:rsid w:val="009B25A4"/>
    <w:pPr>
      <w:tabs>
        <w:tab w:val="right" w:leader="dot" w:pos="9062"/>
      </w:tabs>
    </w:pPr>
  </w:style>
  <w:style w:type="paragraph" w:styleId="TM2">
    <w:name w:val="toc 2"/>
    <w:basedOn w:val="Normal"/>
    <w:next w:val="Normal"/>
    <w:autoRedefine/>
    <w:uiPriority w:val="39"/>
    <w:unhideWhenUsed/>
    <w:rsid w:val="00762B41"/>
    <w:pPr>
      <w:tabs>
        <w:tab w:val="right" w:leader="dot" w:pos="9062"/>
      </w:tabs>
      <w:ind w:left="198"/>
    </w:pPr>
  </w:style>
  <w:style w:type="paragraph" w:styleId="TM3">
    <w:name w:val="toc 3"/>
    <w:basedOn w:val="Normal"/>
    <w:next w:val="Normal"/>
    <w:autoRedefine/>
    <w:uiPriority w:val="39"/>
    <w:unhideWhenUsed/>
    <w:rsid w:val="00BA6902"/>
    <w:pPr>
      <w:spacing w:after="100"/>
      <w:ind w:left="400"/>
    </w:pPr>
  </w:style>
  <w:style w:type="character" w:styleId="Lienhypertexte">
    <w:name w:val="Hyperlink"/>
    <w:basedOn w:val="Policepardfaut"/>
    <w:uiPriority w:val="99"/>
    <w:unhideWhenUsed/>
    <w:rsid w:val="00BA6902"/>
    <w:rPr>
      <w:color w:val="0563C1" w:themeColor="hyperlink"/>
      <w:u w:val="single"/>
    </w:rPr>
  </w:style>
  <w:style w:type="paragraph" w:styleId="Objetducommentaire">
    <w:name w:val="annotation subject"/>
    <w:basedOn w:val="Commentaire"/>
    <w:next w:val="Commentaire"/>
    <w:link w:val="ObjetducommentaireCar"/>
    <w:uiPriority w:val="99"/>
    <w:semiHidden/>
    <w:unhideWhenUsed/>
    <w:rsid w:val="0091008D"/>
    <w:pPr>
      <w:suppressAutoHyphens w:val="0"/>
      <w:spacing w:after="0"/>
    </w:pPr>
    <w:rPr>
      <w:rFonts w:ascii="Marianne" w:hAnsi="Marianne" w:cs="Arial"/>
      <w:b/>
      <w:bCs/>
      <w:lang w:eastAsia="fr-FR"/>
    </w:rPr>
  </w:style>
  <w:style w:type="character" w:customStyle="1" w:styleId="ObjetducommentaireCar">
    <w:name w:val="Objet du commentaire Car"/>
    <w:basedOn w:val="CommentaireCar"/>
    <w:link w:val="Objetducommentaire"/>
    <w:uiPriority w:val="99"/>
    <w:semiHidden/>
    <w:rsid w:val="0091008D"/>
    <w:rPr>
      <w:rFonts w:ascii="Marianne" w:hAnsi="Marianne" w:cs="Arial"/>
      <w:b/>
      <w:bCs/>
      <w:sz w:val="20"/>
      <w:szCs w:val="20"/>
      <w:lang w:eastAsia="fr-FR"/>
    </w:rPr>
  </w:style>
  <w:style w:type="paragraph" w:styleId="Paragraphedeliste">
    <w:name w:val="List Paragraph"/>
    <w:basedOn w:val="Normal"/>
    <w:uiPriority w:val="34"/>
    <w:qFormat/>
    <w:rsid w:val="00AF6B98"/>
    <w:pPr>
      <w:spacing w:after="5" w:line="250" w:lineRule="auto"/>
      <w:ind w:left="720" w:hanging="10"/>
      <w:contextualSpacing/>
      <w:jc w:val="both"/>
    </w:pPr>
    <w:rPr>
      <w:rFonts w:ascii="Calibri" w:eastAsia="Calibri" w:hAnsi="Calibri" w:cs="Calibri"/>
      <w:color w:val="000000"/>
      <w:sz w:val="24"/>
      <w:szCs w:val="22"/>
    </w:rPr>
  </w:style>
  <w:style w:type="paragraph" w:customStyle="1" w:styleId="Default">
    <w:name w:val="Default"/>
    <w:basedOn w:val="Normal"/>
    <w:rsid w:val="00AF6B98"/>
    <w:pPr>
      <w:autoSpaceDE w:val="0"/>
      <w:autoSpaceDN w:val="0"/>
    </w:pPr>
    <w:rPr>
      <w:rFonts w:ascii="Calibri" w:eastAsiaTheme="minorHAnsi" w:hAnsi="Calibri" w:cs="Calibri"/>
      <w:color w:val="000000"/>
      <w:sz w:val="24"/>
      <w:szCs w:val="24"/>
      <w:lang w:eastAsia="en-US"/>
    </w:rPr>
  </w:style>
  <w:style w:type="paragraph" w:styleId="Notedebasdepage">
    <w:name w:val="footnote text"/>
    <w:basedOn w:val="Normal"/>
    <w:link w:val="NotedebasdepageCar"/>
    <w:uiPriority w:val="99"/>
    <w:unhideWhenUsed/>
    <w:rsid w:val="00671E29"/>
  </w:style>
  <w:style w:type="character" w:customStyle="1" w:styleId="NotedebasdepageCar">
    <w:name w:val="Note de bas de page Car"/>
    <w:basedOn w:val="Policepardfaut"/>
    <w:link w:val="Notedebasdepage"/>
    <w:uiPriority w:val="99"/>
    <w:qFormat/>
    <w:rsid w:val="00671E29"/>
    <w:rPr>
      <w:rFonts w:ascii="Marianne" w:hAnsi="Marianne" w:cs="Arial"/>
      <w:sz w:val="20"/>
      <w:szCs w:val="20"/>
      <w:lang w:eastAsia="fr-FR"/>
    </w:rPr>
  </w:style>
  <w:style w:type="character" w:styleId="Appelnotedebasdep">
    <w:name w:val="footnote reference"/>
    <w:basedOn w:val="Policepardfaut"/>
    <w:uiPriority w:val="99"/>
    <w:semiHidden/>
    <w:unhideWhenUsed/>
    <w:rsid w:val="00671E29"/>
    <w:rPr>
      <w:vertAlign w:val="superscript"/>
    </w:rPr>
  </w:style>
  <w:style w:type="paragraph" w:styleId="Notedefin">
    <w:name w:val="endnote text"/>
    <w:basedOn w:val="Normal"/>
    <w:link w:val="NotedefinCar"/>
    <w:uiPriority w:val="99"/>
    <w:semiHidden/>
    <w:unhideWhenUsed/>
    <w:rsid w:val="00671E29"/>
  </w:style>
  <w:style w:type="character" w:customStyle="1" w:styleId="NotedefinCar">
    <w:name w:val="Note de fin Car"/>
    <w:basedOn w:val="Policepardfaut"/>
    <w:link w:val="Notedefin"/>
    <w:uiPriority w:val="99"/>
    <w:semiHidden/>
    <w:rsid w:val="00671E29"/>
    <w:rPr>
      <w:rFonts w:ascii="Marianne" w:hAnsi="Marianne" w:cs="Arial"/>
      <w:sz w:val="20"/>
      <w:szCs w:val="20"/>
      <w:lang w:eastAsia="fr-FR"/>
    </w:rPr>
  </w:style>
  <w:style w:type="character" w:styleId="Appeldenotedefin">
    <w:name w:val="endnote reference"/>
    <w:basedOn w:val="Policepardfaut"/>
    <w:uiPriority w:val="99"/>
    <w:semiHidden/>
    <w:unhideWhenUsed/>
    <w:rsid w:val="00671E29"/>
    <w:rPr>
      <w:vertAlign w:val="superscript"/>
    </w:rPr>
  </w:style>
  <w:style w:type="character" w:styleId="Lienhypertextesuivivisit">
    <w:name w:val="FollowedHyperlink"/>
    <w:basedOn w:val="Policepardfaut"/>
    <w:uiPriority w:val="99"/>
    <w:semiHidden/>
    <w:unhideWhenUsed/>
    <w:rsid w:val="00E770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7042262">
      <w:bodyDiv w:val="1"/>
      <w:marLeft w:val="0"/>
      <w:marRight w:val="0"/>
      <w:marTop w:val="0"/>
      <w:marBottom w:val="0"/>
      <w:divBdr>
        <w:top w:val="none" w:sz="0" w:space="0" w:color="auto"/>
        <w:left w:val="none" w:sz="0" w:space="0" w:color="auto"/>
        <w:bottom w:val="none" w:sz="0" w:space="0" w:color="auto"/>
        <w:right w:val="none" w:sz="0" w:space="0" w:color="auto"/>
      </w:divBdr>
    </w:div>
    <w:div w:id="202933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france.gouv.fr/codes/article_lc/LEGIARTI000033620969"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our-les-personnes-agees.gouv.fr/preserver-son-autonomie-s-informer-et-anticiper/a-qui-s-adresser/le-medecin-coordonnateur" TargetMode="External"/><Relationship Id="rId17" Type="http://schemas.openxmlformats.org/officeDocument/2006/relationships/hyperlink" Target="https://www.paca.ars.sante.fr/sites/default/files/2017-04/Guide-Ehpad-V7.pdf" TargetMode="External"/><Relationship Id="rId2" Type="http://schemas.openxmlformats.org/officeDocument/2006/relationships/customXml" Target="../customXml/item2.xml"/><Relationship Id="rId16" Type="http://schemas.openxmlformats.org/officeDocument/2006/relationships/hyperlink" Target="https://dumas.ccsd.cnrs.fr/dumas-02529259/docume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resogardes.com" TargetMode="External"/><Relationship Id="rId5" Type="http://schemas.openxmlformats.org/officeDocument/2006/relationships/numbering" Target="numbering.xml"/><Relationship Id="rId15" Type="http://schemas.openxmlformats.org/officeDocument/2006/relationships/hyperlink" Target="https://dumas.ccsd.cnrs.fr/dumas-02529259/documen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umas.ccsd.cnrs.fr/dumas-02529259/docume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omedit-idf.fr/wp-content/uploads/Fiche-de-fonction-Referent-Medicament-ESMS-H.pdf" TargetMode="External"/><Relationship Id="rId2" Type="http://schemas.openxmlformats.org/officeDocument/2006/relationships/hyperlink" Target="https://www.omedit-normandie.fr/boite-a-outils/essms-evaluation-has/accompagnement-handicap-2024/accompagnement-handicap-2024,6047,13479.html" TargetMode="External"/><Relationship Id="rId1" Type="http://schemas.openxmlformats.org/officeDocument/2006/relationships/hyperlink" Target="https://solidarites-sante.gouv.fr/fichiers/bo/2010/10-01/ste_20100001_0100_0068.pdf" TargetMode="External"/><Relationship Id="rId6" Type="http://schemas.openxmlformats.org/officeDocument/2006/relationships/hyperlink" Target="https://www.legifrance.gouv.fr/codes/article_lc/LEGIARTI000048598174" TargetMode="External"/><Relationship Id="rId5" Type="http://schemas.openxmlformats.org/officeDocument/2006/relationships/hyperlink" Target="https://www.omedit-normandie.fr/media-files/34296/livret-ehpad_2022-2-.pdf" TargetMode="External"/><Relationship Id="rId4" Type="http://schemas.openxmlformats.org/officeDocument/2006/relationships/hyperlink" Target="https://www.omedit-normandie.fr/boite-a-outils/essms-handicap/handicap,3388,3979.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383AAF232AB34FB565622A5869D0B7" ma:contentTypeVersion="4" ma:contentTypeDescription="Crée un document." ma:contentTypeScope="" ma:versionID="618d3905355f42a2b948b8ca8ebadd1c">
  <xsd:schema xmlns:xsd="http://www.w3.org/2001/XMLSchema" xmlns:xs="http://www.w3.org/2001/XMLSchema" xmlns:p="http://schemas.microsoft.com/office/2006/metadata/properties" xmlns:ns2="73cd8b21-a003-45c3-9554-db33edf06927" targetNamespace="http://schemas.microsoft.com/office/2006/metadata/properties" ma:root="true" ma:fieldsID="1f045dd121c0689b728ed9f377d0e419" ns2:_="">
    <xsd:import namespace="73cd8b21-a003-45c3-9554-db33edf0692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cd8b21-a003-45c3-9554-db33edf069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43E52-CFA5-45FA-885F-5B1B5D3164C1}">
  <ds:schemaRefs>
    <ds:schemaRef ds:uri="http://schemas.microsoft.com/office/infopath/2007/PartnerControls"/>
    <ds:schemaRef ds:uri="73cd8b21-a003-45c3-9554-db33edf06927"/>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2.xml><?xml version="1.0" encoding="utf-8"?>
<ds:datastoreItem xmlns:ds="http://schemas.openxmlformats.org/officeDocument/2006/customXml" ds:itemID="{88FC8D0A-9FAF-4086-B442-FA0ED3F373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cd8b21-a003-45c3-9554-db33edf06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9B2C6D-6399-4763-A98F-36703047BE2C}">
  <ds:schemaRefs>
    <ds:schemaRef ds:uri="http://schemas.microsoft.com/sharepoint/v3/contenttype/forms"/>
  </ds:schemaRefs>
</ds:datastoreItem>
</file>

<file path=customXml/itemProps4.xml><?xml version="1.0" encoding="utf-8"?>
<ds:datastoreItem xmlns:ds="http://schemas.openxmlformats.org/officeDocument/2006/customXml" ds:itemID="{087374DD-D49A-4443-9D65-23A382EEE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13</Pages>
  <Words>5483</Words>
  <Characters>30162</Characters>
  <Application>Microsoft Office Word</Application>
  <DocSecurity>0</DocSecurity>
  <Lines>251</Lines>
  <Paragraphs>71</Paragraphs>
  <ScaleCrop>false</ScaleCrop>
  <HeadingPairs>
    <vt:vector size="2" baseType="variant">
      <vt:variant>
        <vt:lpstr>Titre</vt:lpstr>
      </vt:variant>
      <vt:variant>
        <vt:i4>1</vt:i4>
      </vt:variant>
    </vt:vector>
  </HeadingPairs>
  <TitlesOfParts>
    <vt:vector size="1" baseType="lpstr">
      <vt:lpstr/>
    </vt:vector>
  </TitlesOfParts>
  <Company>Ministère des affaires sociales</Company>
  <LinksUpToDate>false</LinksUpToDate>
  <CharactersWithSpaces>35574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AIACHE, Martine (ARS-NORMANDIE/MIC)</dc:creator>
  <cp:keywords/>
  <dc:description/>
  <cp:lastModifiedBy>BOUGLE, Céline (ARS-NORMANDIE/DOS/OMEDIT)</cp:lastModifiedBy>
  <cp:revision>3</cp:revision>
  <dcterms:created xsi:type="dcterms:W3CDTF">2024-03-06T10:07:00Z</dcterms:created>
  <dcterms:modified xsi:type="dcterms:W3CDTF">2024-03-06T10:18:00Z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0x010100A5383AAF232AB34FB565622A5869D0B7</vt:lpwstr>
  </property>
</Properties>
</file>