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37C24F" w14:textId="6A888A9B" w:rsidR="00383437" w:rsidRPr="00D136B7" w:rsidRDefault="00383437" w:rsidP="00383437">
      <w:pPr>
        <w:pStyle w:val="Titre1"/>
      </w:pPr>
      <w:bookmarkStart w:id="0" w:name="_Toc16663766"/>
      <w:r>
        <w:t>Shortell</w:t>
      </w:r>
      <w:bookmarkEnd w:id="0"/>
    </w:p>
    <w:tbl>
      <w:tblPr>
        <w:tblW w:w="4708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17"/>
        <w:gridCol w:w="2836"/>
        <w:gridCol w:w="2873"/>
        <w:gridCol w:w="2917"/>
        <w:gridCol w:w="2815"/>
      </w:tblGrid>
      <w:tr w:rsidR="00383437" w:rsidRPr="00A176D4" w14:paraId="24475159" w14:textId="77777777" w:rsidTr="00220B96">
        <w:trPr>
          <w:trHeight w:val="525"/>
        </w:trPr>
        <w:tc>
          <w:tcPr>
            <w:tcW w:w="653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C0504D"/>
          </w:tcPr>
          <w:p w14:paraId="7D261375" w14:textId="77777777" w:rsidR="00383437" w:rsidRPr="00A176D4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sz w:val="28"/>
                <w:szCs w:val="28"/>
                <w:lang w:eastAsia="en-US"/>
              </w:rPr>
            </w:pPr>
            <w:bookmarkStart w:id="1" w:name="ANNEXE3"/>
            <w:r w:rsidRPr="00A176D4">
              <w:rPr>
                <w:rFonts w:ascii="Calibri" w:hAnsi="Calibri"/>
                <w:b/>
                <w:sz w:val="28"/>
                <w:szCs w:val="28"/>
              </w:rPr>
              <w:br w:type="page"/>
            </w:r>
          </w:p>
          <w:p w14:paraId="38C569A3" w14:textId="77777777" w:rsidR="00383437" w:rsidRPr="003E6A62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val="en-GB" w:eastAsia="en-US"/>
              </w:rPr>
            </w:pPr>
            <w:r w:rsidRPr="003E6A62">
              <w:rPr>
                <w:rFonts w:cs="Arial"/>
                <w:b/>
                <w:sz w:val="22"/>
                <w:szCs w:val="22"/>
                <w:lang w:val="en-GB" w:eastAsia="en-US"/>
              </w:rPr>
              <w:t>On s’interroge sur</w:t>
            </w:r>
          </w:p>
        </w:tc>
        <w:tc>
          <w:tcPr>
            <w:tcW w:w="107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C0504D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726F0E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</w:p>
          <w:p w14:paraId="291B2196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A3527C"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Axe stratégique</w:t>
            </w:r>
          </w:p>
        </w:tc>
        <w:tc>
          <w:tcPr>
            <w:tcW w:w="1090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C0504D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E4457F" w14:textId="77777777" w:rsidR="00383437" w:rsidRPr="00A3527C" w:rsidRDefault="00383437" w:rsidP="00220B96">
            <w:pPr>
              <w:spacing w:before="0" w:after="0" w:line="276" w:lineRule="auto"/>
              <w:jc w:val="left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</w:p>
          <w:p w14:paraId="204ACFFD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A3527C"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Axe technique</w:t>
            </w:r>
          </w:p>
          <w:p w14:paraId="7119CEE2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color w:val="FFFFFF" w:themeColor="background1"/>
                <w:sz w:val="22"/>
                <w:szCs w:val="22"/>
                <w:lang w:eastAsia="en-US"/>
              </w:rPr>
            </w:pPr>
            <w:r w:rsidRPr="00A3527C"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1109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C0504D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22BA3A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</w:p>
          <w:p w14:paraId="7D4EFBF0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A3527C"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  <w:t xml:space="preserve">Axe structurel </w:t>
            </w:r>
          </w:p>
        </w:tc>
        <w:tc>
          <w:tcPr>
            <w:tcW w:w="1070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C0504D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242138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</w:p>
          <w:p w14:paraId="371B4513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</w:pPr>
            <w:r w:rsidRPr="00A3527C"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  <w:t>Axe culturel</w:t>
            </w:r>
          </w:p>
          <w:p w14:paraId="2C35BAAD" w14:textId="77777777" w:rsidR="00383437" w:rsidRPr="00A3527C" w:rsidRDefault="00383437" w:rsidP="00220B96">
            <w:pPr>
              <w:spacing w:before="0" w:after="0" w:line="276" w:lineRule="auto"/>
              <w:jc w:val="center"/>
              <w:rPr>
                <w:rFonts w:ascii="Calibri" w:hAnsi="Calibri"/>
                <w:b/>
                <w:color w:val="FFFFFF" w:themeColor="background1"/>
                <w:sz w:val="22"/>
                <w:szCs w:val="22"/>
                <w:lang w:eastAsia="en-US"/>
              </w:rPr>
            </w:pPr>
            <w:r w:rsidRPr="00A3527C">
              <w:rPr>
                <w:rFonts w:ascii="Calibri" w:hAnsi="Calibri"/>
                <w:b/>
                <w:bCs/>
                <w:color w:val="FFFFFF" w:themeColor="background1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383437" w:rsidRPr="00A176D4" w14:paraId="191833DA" w14:textId="77777777" w:rsidTr="00220B96">
        <w:trPr>
          <w:trHeight w:val="1515"/>
        </w:trPr>
        <w:tc>
          <w:tcPr>
            <w:tcW w:w="653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vAlign w:val="center"/>
            <w:hideMark/>
          </w:tcPr>
          <w:p w14:paraId="5F087648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b/>
                <w:sz w:val="24"/>
                <w:lang w:eastAsia="en-US"/>
              </w:rPr>
            </w:pPr>
            <w:r w:rsidRPr="00A176D4">
              <w:rPr>
                <w:rFonts w:cs="Arial"/>
                <w:b/>
                <w:sz w:val="24"/>
                <w:lang w:eastAsia="en-US"/>
              </w:rPr>
              <w:t>Finalités</w:t>
            </w:r>
          </w:p>
        </w:tc>
        <w:tc>
          <w:tcPr>
            <w:tcW w:w="107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AE95C6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Cet axe permet de questionner sur </w:t>
            </w:r>
          </w:p>
          <w:p w14:paraId="5EB4C32A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- les priorités institutionnelles </w:t>
            </w:r>
          </w:p>
          <w:p w14:paraId="57B01439" w14:textId="42ED7F3F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- </w:t>
            </w:r>
            <w:r w:rsidR="002C3242">
              <w:rPr>
                <w:rFonts w:cs="Arial"/>
                <w:szCs w:val="20"/>
                <w:lang w:eastAsia="en-US"/>
              </w:rPr>
              <w:t xml:space="preserve">sa </w:t>
            </w:r>
            <w:r w:rsidRPr="00A176D4">
              <w:rPr>
                <w:rFonts w:cs="Arial"/>
                <w:szCs w:val="20"/>
                <w:lang w:eastAsia="en-US"/>
              </w:rPr>
              <w:t>cohérence avec le projet de service</w:t>
            </w:r>
          </w:p>
          <w:p w14:paraId="1904B31D" w14:textId="77777777" w:rsidR="00383437" w:rsidRPr="00A176D4" w:rsidRDefault="00383437" w:rsidP="00220B96">
            <w:pPr>
              <w:spacing w:before="0" w:after="0" w:line="276" w:lineRule="auto"/>
              <w:jc w:val="center"/>
              <w:rPr>
                <w:rFonts w:cs="Arial"/>
                <w:szCs w:val="20"/>
                <w:lang w:val="en-GB" w:eastAsia="en-US"/>
              </w:rPr>
            </w:pPr>
          </w:p>
        </w:tc>
        <w:tc>
          <w:tcPr>
            <w:tcW w:w="1090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58224B" w14:textId="77777777" w:rsidR="00383437" w:rsidRPr="00A176D4" w:rsidRDefault="00383437" w:rsidP="00220B96">
            <w:pPr>
              <w:spacing w:before="100" w:beforeAutospacing="1" w:after="100" w:afterAutospacing="1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Cet axe questionne sur les outils, les méthodes et formations</w:t>
            </w:r>
          </w:p>
          <w:p w14:paraId="24289162" w14:textId="77777777" w:rsidR="00383437" w:rsidRPr="00A176D4" w:rsidRDefault="00383437" w:rsidP="00220B96">
            <w:pPr>
              <w:spacing w:before="100" w:beforeAutospacing="1" w:after="100" w:afterAutospacing="1" w:line="276" w:lineRule="auto"/>
              <w:rPr>
                <w:rFonts w:cs="Arial"/>
                <w:b/>
                <w:szCs w:val="20"/>
                <w:lang w:eastAsia="en-US"/>
              </w:rPr>
            </w:pPr>
          </w:p>
        </w:tc>
        <w:tc>
          <w:tcPr>
            <w:tcW w:w="1109" w:type="pct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5E12ED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Cet axe questionne sur la gestion de projet, l’organisation en place, aux ressources affectées, dont le temps alloué et au style de leadership</w:t>
            </w:r>
          </w:p>
          <w:p w14:paraId="0B08DC07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b/>
                <w:szCs w:val="20"/>
                <w:lang w:eastAsia="en-US"/>
              </w:rPr>
            </w:pPr>
          </w:p>
        </w:tc>
        <w:tc>
          <w:tcPr>
            <w:tcW w:w="1070" w:type="pct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EDA86B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Cet axe questionne </w:t>
            </w:r>
          </w:p>
          <w:p w14:paraId="516313B2" w14:textId="7C64882F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-la compréhension partagée des enjeux liés au projet (travail en équipe, l’organisation du travail, </w:t>
            </w:r>
            <w:r w:rsidR="002C3242">
              <w:rPr>
                <w:rFonts w:cs="Arial"/>
                <w:szCs w:val="20"/>
                <w:lang w:eastAsia="en-US"/>
              </w:rPr>
              <w:t>la place du patient, etc.</w:t>
            </w:r>
            <w:r w:rsidRPr="00A176D4">
              <w:rPr>
                <w:rFonts w:cs="Arial"/>
                <w:szCs w:val="20"/>
                <w:lang w:eastAsia="en-US"/>
              </w:rPr>
              <w:t>)</w:t>
            </w:r>
          </w:p>
          <w:p w14:paraId="60F77332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- et la culture positive de l’erreur</w:t>
            </w:r>
          </w:p>
          <w:p w14:paraId="100B35B6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Aussi bien au niveau institutionnel que du service lui-même</w:t>
            </w:r>
          </w:p>
        </w:tc>
      </w:tr>
      <w:tr w:rsidR="00383437" w:rsidRPr="00A176D4" w14:paraId="4726CE0F" w14:textId="77777777" w:rsidTr="009C28F3">
        <w:trPr>
          <w:trHeight w:val="3876"/>
        </w:trPr>
        <w:tc>
          <w:tcPr>
            <w:tcW w:w="653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vAlign w:val="center"/>
            <w:hideMark/>
          </w:tcPr>
          <w:p w14:paraId="5089F687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b/>
                <w:sz w:val="28"/>
                <w:szCs w:val="28"/>
                <w:lang w:eastAsia="en-US"/>
              </w:rPr>
            </w:pPr>
            <w:r w:rsidRPr="00A176D4">
              <w:rPr>
                <w:rFonts w:cs="Arial"/>
                <w:b/>
                <w:sz w:val="24"/>
                <w:lang w:eastAsia="en-US"/>
              </w:rPr>
              <w:t>Questions</w:t>
            </w:r>
            <w:r w:rsidRPr="003E21F1">
              <w:rPr>
                <w:rFonts w:cs="Arial"/>
                <w:b/>
                <w:sz w:val="24"/>
                <w:lang w:eastAsia="en-US"/>
              </w:rPr>
              <w:t xml:space="preserve"> </w:t>
            </w:r>
          </w:p>
        </w:tc>
        <w:tc>
          <w:tcPr>
            <w:tcW w:w="107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C38C0F" w14:textId="40017480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Le projet </w:t>
            </w:r>
            <w:r w:rsidR="002C3242">
              <w:rPr>
                <w:rFonts w:cs="Arial"/>
                <w:szCs w:val="20"/>
                <w:lang w:eastAsia="en-US"/>
              </w:rPr>
              <w:t>PAAM</w:t>
            </w:r>
            <w:r w:rsidRPr="00A176D4">
              <w:rPr>
                <w:rFonts w:cs="Arial"/>
                <w:szCs w:val="20"/>
                <w:lang w:eastAsia="en-US"/>
              </w:rPr>
              <w:t xml:space="preserve"> est-il un axe fort et prioritaire pour la direction ?</w:t>
            </w:r>
          </w:p>
          <w:p w14:paraId="03E0EE53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La direction est-elle prête à soutenir le projet ?</w:t>
            </w:r>
          </w:p>
          <w:p w14:paraId="67239594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  <w:p w14:paraId="5B2E4E24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Le projet est-il cohérent par rapport au projet de service ?</w:t>
            </w:r>
          </w:p>
          <w:p w14:paraId="1A78B331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  <w:p w14:paraId="237F18CC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En termes de ressources (financières, humaines), est-ce le bon moment de lancer le projet ?</w:t>
            </w:r>
          </w:p>
        </w:tc>
        <w:tc>
          <w:tcPr>
            <w:tcW w:w="1090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E71436" w14:textId="399A271E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Des professionnels </w:t>
            </w:r>
            <w:r w:rsidR="002C3242">
              <w:rPr>
                <w:rFonts w:cs="Arial"/>
                <w:szCs w:val="20"/>
                <w:lang w:eastAsia="en-US"/>
              </w:rPr>
              <w:t>« </w:t>
            </w:r>
            <w:r w:rsidRPr="00A176D4">
              <w:rPr>
                <w:rFonts w:cs="Arial"/>
                <w:szCs w:val="20"/>
                <w:lang w:eastAsia="en-US"/>
              </w:rPr>
              <w:t xml:space="preserve">ressources » sont formés </w:t>
            </w:r>
            <w:r w:rsidR="002C3242">
              <w:rPr>
                <w:rFonts w:cs="Arial"/>
                <w:szCs w:val="20"/>
                <w:lang w:eastAsia="en-US"/>
              </w:rPr>
              <w:t>aux méthodes, tels que le patient traceur, la conduite d’audit, l’écoute active, la méthode Ampatti, etc.</w:t>
            </w:r>
            <w:r w:rsidRPr="00A176D4">
              <w:rPr>
                <w:rFonts w:cs="Arial"/>
                <w:szCs w:val="20"/>
                <w:lang w:eastAsia="en-US"/>
              </w:rPr>
              <w:t> ?</w:t>
            </w:r>
          </w:p>
          <w:p w14:paraId="516450A0" w14:textId="77777777" w:rsidR="00383437" w:rsidRPr="00A3527C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Les professionnels sont formés aux méthodes et outils d’analyse systémique, au sujet du travail en équipe, à la sécurisation de l’administration des médicaments</w:t>
            </w:r>
          </w:p>
        </w:tc>
        <w:tc>
          <w:tcPr>
            <w:tcW w:w="1109" w:type="pct"/>
            <w:tcBorders>
              <w:top w:val="nil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75FCC5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Les ressources (effectif) nécessaires au bon développement du projet et à sa pérennité sont adapté</w:t>
            </w:r>
            <w:r>
              <w:rPr>
                <w:rFonts w:cs="Arial"/>
                <w:szCs w:val="20"/>
                <w:lang w:eastAsia="en-US"/>
              </w:rPr>
              <w:t>e</w:t>
            </w:r>
            <w:r w:rsidRPr="00A176D4">
              <w:rPr>
                <w:rFonts w:cs="Arial"/>
                <w:szCs w:val="20"/>
                <w:lang w:eastAsia="en-US"/>
              </w:rPr>
              <w:t>s ?</w:t>
            </w:r>
          </w:p>
          <w:p w14:paraId="196EC199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  <w:p w14:paraId="4905CE9E" w14:textId="4845A2AF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Les responsables sont-ils prêts à laisser </w:t>
            </w:r>
            <w:r w:rsidR="002C3242">
              <w:rPr>
                <w:rFonts w:cs="Arial"/>
                <w:szCs w:val="20"/>
                <w:lang w:eastAsia="en-US"/>
              </w:rPr>
              <w:t>des patients</w:t>
            </w:r>
            <w:r w:rsidRPr="00A176D4">
              <w:rPr>
                <w:rFonts w:cs="Arial"/>
                <w:szCs w:val="20"/>
                <w:lang w:eastAsia="en-US"/>
              </w:rPr>
              <w:t xml:space="preserve"> proposer des axes d’améliorations ?</w:t>
            </w:r>
          </w:p>
          <w:p w14:paraId="7ED45A89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>L’avis de l’équipe pour s’engager dans ce projet a été pris ?</w:t>
            </w:r>
          </w:p>
          <w:p w14:paraId="33A2437D" w14:textId="4C4E074C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Des temps dédiés au </w:t>
            </w:r>
            <w:r w:rsidR="002C3242" w:rsidRPr="00A176D4">
              <w:rPr>
                <w:rFonts w:cs="Arial"/>
                <w:szCs w:val="20"/>
                <w:lang w:eastAsia="en-US"/>
              </w:rPr>
              <w:t>partage sont</w:t>
            </w:r>
            <w:r w:rsidRPr="00A176D4">
              <w:rPr>
                <w:rFonts w:cs="Arial"/>
                <w:szCs w:val="20"/>
                <w:lang w:eastAsia="en-US"/>
              </w:rPr>
              <w:t xml:space="preserve">-ils en place ou prévus ? </w:t>
            </w:r>
          </w:p>
        </w:tc>
        <w:tc>
          <w:tcPr>
            <w:tcW w:w="1070" w:type="pct"/>
            <w:tcBorders>
              <w:top w:val="nil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03E6DA" w14:textId="5219AE16" w:rsidR="00383437" w:rsidRPr="00A176D4" w:rsidRDefault="002C3242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>
              <w:rPr>
                <w:rFonts w:cs="Arial"/>
                <w:szCs w:val="20"/>
                <w:lang w:eastAsia="en-US"/>
              </w:rPr>
              <w:t xml:space="preserve">Quelle est la perception de l’équipe sur une possibilité pour un patient/entourage de pouvoir déclarer </w:t>
            </w:r>
            <w:r w:rsidR="00383437" w:rsidRPr="00A176D4">
              <w:rPr>
                <w:rFonts w:cs="Arial"/>
                <w:szCs w:val="20"/>
                <w:lang w:eastAsia="en-US"/>
              </w:rPr>
              <w:t xml:space="preserve">un </w:t>
            </w:r>
            <w:r w:rsidRPr="00A176D4">
              <w:rPr>
                <w:rFonts w:cs="Arial"/>
                <w:szCs w:val="20"/>
                <w:lang w:eastAsia="en-US"/>
              </w:rPr>
              <w:t>événement ?</w:t>
            </w:r>
          </w:p>
          <w:p w14:paraId="77BC2E3B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  <w:p w14:paraId="2518E570" w14:textId="5B3F9D26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  <w:r w:rsidRPr="00A176D4">
              <w:rPr>
                <w:rFonts w:cs="Arial"/>
                <w:szCs w:val="20"/>
                <w:lang w:eastAsia="en-US"/>
              </w:rPr>
              <w:t xml:space="preserve">Les solutions qui seront apportées pourront impacter l’organisation des </w:t>
            </w:r>
            <w:r w:rsidR="002C3242">
              <w:rPr>
                <w:rFonts w:cs="Arial"/>
                <w:szCs w:val="20"/>
                <w:lang w:eastAsia="en-US"/>
              </w:rPr>
              <w:t>activités</w:t>
            </w:r>
            <w:r w:rsidRPr="00A176D4">
              <w:rPr>
                <w:rFonts w:cs="Arial"/>
                <w:szCs w:val="20"/>
                <w:lang w:eastAsia="en-US"/>
              </w:rPr>
              <w:t>, les modalités de communication, les locaux, le travail en équipe</w:t>
            </w:r>
            <w:r w:rsidR="009C28F3">
              <w:rPr>
                <w:rFonts w:cs="Arial"/>
                <w:szCs w:val="20"/>
                <w:lang w:eastAsia="en-US"/>
              </w:rPr>
              <w:t>, la place du pharmacien, le patient membre de l’équipe, etc. Le service et -il prêt ?</w:t>
            </w:r>
          </w:p>
        </w:tc>
      </w:tr>
      <w:tr w:rsidR="00383437" w:rsidRPr="00A176D4" w14:paraId="0AB39528" w14:textId="77777777" w:rsidTr="00220B96">
        <w:trPr>
          <w:trHeight w:val="1240"/>
        </w:trPr>
        <w:tc>
          <w:tcPr>
            <w:tcW w:w="653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vAlign w:val="center"/>
            <w:hideMark/>
          </w:tcPr>
          <w:p w14:paraId="36BBDD28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b/>
                <w:sz w:val="28"/>
                <w:szCs w:val="28"/>
                <w:lang w:eastAsia="en-US"/>
              </w:rPr>
            </w:pPr>
            <w:r w:rsidRPr="003E21F1">
              <w:rPr>
                <w:rFonts w:cs="Arial"/>
                <w:b/>
                <w:sz w:val="24"/>
                <w:lang w:eastAsia="en-US"/>
              </w:rPr>
              <w:t>Notes (1 à 4)</w:t>
            </w:r>
            <w:r>
              <w:rPr>
                <w:rFonts w:cs="Arial"/>
                <w:b/>
                <w:sz w:val="24"/>
                <w:lang w:eastAsia="en-US"/>
              </w:rPr>
              <w:t xml:space="preserve"> et commentaires</w:t>
            </w:r>
          </w:p>
        </w:tc>
        <w:tc>
          <w:tcPr>
            <w:tcW w:w="107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201ADA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</w:tc>
        <w:tc>
          <w:tcPr>
            <w:tcW w:w="1090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B2F66F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b/>
                <w:szCs w:val="20"/>
                <w:lang w:eastAsia="en-US"/>
              </w:rPr>
            </w:pPr>
          </w:p>
        </w:tc>
        <w:tc>
          <w:tcPr>
            <w:tcW w:w="1109" w:type="pct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A4E6FA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</w:tc>
        <w:tc>
          <w:tcPr>
            <w:tcW w:w="1070" w:type="pct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4E9E9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3DD8D1" w14:textId="77777777" w:rsidR="00383437" w:rsidRPr="00A176D4" w:rsidRDefault="00383437" w:rsidP="00220B96">
            <w:pPr>
              <w:spacing w:before="0" w:after="0" w:line="276" w:lineRule="auto"/>
              <w:rPr>
                <w:rFonts w:cs="Arial"/>
                <w:szCs w:val="20"/>
                <w:lang w:eastAsia="en-US"/>
              </w:rPr>
            </w:pPr>
          </w:p>
        </w:tc>
      </w:tr>
    </w:tbl>
    <w:p w14:paraId="2A1E8AA6" w14:textId="77777777" w:rsidR="003859BC" w:rsidRDefault="003859BC" w:rsidP="00E7363A">
      <w:bookmarkStart w:id="2" w:name="_GoBack"/>
      <w:bookmarkEnd w:id="1"/>
      <w:bookmarkEnd w:id="2"/>
    </w:p>
    <w:sectPr w:rsidR="003859BC" w:rsidSect="00E7363A">
      <w:footerReference w:type="even" r:id="rId6"/>
      <w:pgSz w:w="16838" w:h="11906" w:orient="landscape"/>
      <w:pgMar w:top="568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200A50" w14:textId="77777777" w:rsidR="009F474F" w:rsidRDefault="009C28F3">
      <w:pPr>
        <w:spacing w:before="0" w:after="0" w:line="240" w:lineRule="auto"/>
      </w:pPr>
      <w:r>
        <w:separator/>
      </w:r>
    </w:p>
  </w:endnote>
  <w:endnote w:type="continuationSeparator" w:id="0">
    <w:p w14:paraId="1A2304A6" w14:textId="77777777" w:rsidR="009F474F" w:rsidRDefault="009C28F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72E845" w14:textId="77777777" w:rsidR="008A01AC" w:rsidRDefault="00E7363A" w:rsidP="00CE1D05">
    <w:pPr>
      <w:pStyle w:val="Pieddepage"/>
      <w:rPr>
        <w:rStyle w:val="lev"/>
      </w:rPr>
    </w:pPr>
  </w:p>
  <w:p w14:paraId="4345607B" w14:textId="41ACBDBD" w:rsidR="008A01AC" w:rsidRPr="00F92564" w:rsidRDefault="009C28F3" w:rsidP="00CE1D05">
    <w:pPr>
      <w:pStyle w:val="Pieddepage"/>
    </w:pPr>
    <w:r>
      <w:rPr>
        <w:rStyle w:val="lev"/>
      </w:rPr>
      <w:t>Accompagnement des équipes sur IT lors de l’administration des médicaments</w:t>
    </w:r>
    <w:r>
      <w:t xml:space="preserve"> </w:t>
    </w:r>
    <w:r>
      <w:fldChar w:fldCharType="begin"/>
    </w:r>
    <w:r>
      <w:instrText xml:space="preserve"> STYLEREF  Sous-titre </w:instrText>
    </w:r>
    <w:r>
      <w:fldChar w:fldCharType="separate"/>
    </w:r>
    <w:r>
      <w:rPr>
        <w:b/>
        <w:bCs/>
        <w:noProof/>
      </w:rPr>
      <w:t>Erreur ! Utilisez l'onglet Accueil pour appliquer Sous-titre au texte que vous souhaitez faire apparaître ici.</w:t>
    </w:r>
    <w:r>
      <w:rPr>
        <w:noProof/>
      </w:rPr>
      <w:fldChar w:fldCharType="end"/>
    </w:r>
    <w:r>
      <w:t> </w:t>
    </w:r>
    <w:r>
      <w:t>I</w:t>
    </w:r>
    <w:r>
      <w:t> </w:t>
    </w:r>
    <w:r w:rsidRPr="00F92564">
      <w:rPr>
        <w:rStyle w:val="Numrodepage"/>
      </w:rPr>
      <w:fldChar w:fldCharType="begin"/>
    </w:r>
    <w:r w:rsidRPr="00F92564">
      <w:rPr>
        <w:rStyle w:val="Numrodepage"/>
      </w:rPr>
      <w:instrText xml:space="preserve"> page </w:instrText>
    </w:r>
    <w:r w:rsidRPr="00F92564">
      <w:rPr>
        <w:rStyle w:val="Numrodepage"/>
      </w:rPr>
      <w:fldChar w:fldCharType="separate"/>
    </w:r>
    <w:r>
      <w:rPr>
        <w:rStyle w:val="Numrodepage"/>
        <w:noProof/>
      </w:rPr>
      <w:t>16</w:t>
    </w:r>
    <w:r w:rsidRPr="00F92564">
      <w:rPr>
        <w:rStyle w:val="Numrodepage"/>
      </w:rPr>
      <w:fldChar w:fldCharType="end"/>
    </w:r>
  </w:p>
  <w:p w14:paraId="5793181D" w14:textId="77777777" w:rsidR="008A01AC" w:rsidRPr="00C1400A" w:rsidRDefault="00E7363A" w:rsidP="009B2CEA">
    <w:pPr>
      <w:pStyle w:val="Corpsdetex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503910" w14:textId="77777777" w:rsidR="009F474F" w:rsidRDefault="009C28F3">
      <w:pPr>
        <w:spacing w:before="0" w:after="0" w:line="240" w:lineRule="auto"/>
      </w:pPr>
      <w:r>
        <w:separator/>
      </w:r>
    </w:p>
  </w:footnote>
  <w:footnote w:type="continuationSeparator" w:id="0">
    <w:p w14:paraId="683CBEEA" w14:textId="77777777" w:rsidR="009F474F" w:rsidRDefault="009C28F3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437"/>
    <w:rsid w:val="002C3242"/>
    <w:rsid w:val="00383437"/>
    <w:rsid w:val="003859BC"/>
    <w:rsid w:val="00992669"/>
    <w:rsid w:val="009C28F3"/>
    <w:rsid w:val="009F474F"/>
    <w:rsid w:val="00E7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17CD9"/>
  <w15:chartTrackingRefBased/>
  <w15:docId w15:val="{EE3177D8-D39E-4964-B3C4-E79261BB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437"/>
    <w:pPr>
      <w:spacing w:before="140" w:after="140" w:line="280" w:lineRule="atLeast"/>
      <w:jc w:val="both"/>
    </w:pPr>
    <w:rPr>
      <w:rFonts w:ascii="Arial" w:eastAsia="Times New Roman" w:hAnsi="Arial" w:cs="Times New Roman"/>
      <w:sz w:val="20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383437"/>
    <w:pPr>
      <w:keepNext/>
      <w:suppressAutoHyphens/>
      <w:spacing w:before="480"/>
      <w:jc w:val="left"/>
      <w:outlineLvl w:val="0"/>
    </w:pPr>
    <w:rPr>
      <w:rFonts w:ascii="Arial Narrow" w:hAnsi="Arial Narrow" w:cs="Arial"/>
      <w:b/>
      <w:bCs/>
      <w:color w:val="005D1E"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383437"/>
    <w:rPr>
      <w:rFonts w:ascii="Arial Narrow" w:eastAsia="Times New Roman" w:hAnsi="Arial Narrow" w:cs="Arial"/>
      <w:b/>
      <w:bCs/>
      <w:color w:val="005D1E"/>
      <w:kern w:val="32"/>
      <w:sz w:val="32"/>
      <w:szCs w:val="32"/>
      <w:lang w:eastAsia="fr-FR"/>
    </w:rPr>
  </w:style>
  <w:style w:type="paragraph" w:styleId="En-tte">
    <w:name w:val="header"/>
    <w:basedOn w:val="Normal"/>
    <w:link w:val="En-tteCar"/>
    <w:semiHidden/>
    <w:rsid w:val="0038343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semiHidden/>
    <w:rsid w:val="00383437"/>
    <w:rPr>
      <w:rFonts w:ascii="Arial" w:eastAsia="Times New Roman" w:hAnsi="Arial" w:cs="Times New Roman"/>
      <w:sz w:val="20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383437"/>
    <w:pPr>
      <w:suppressAutoHyphens/>
      <w:spacing w:before="0" w:after="0" w:line="240" w:lineRule="auto"/>
      <w:jc w:val="left"/>
    </w:pPr>
    <w:rPr>
      <w:color w:val="6E9664"/>
      <w:sz w:val="18"/>
    </w:rPr>
  </w:style>
  <w:style w:type="character" w:customStyle="1" w:styleId="PieddepageCar">
    <w:name w:val="Pied de page Car"/>
    <w:basedOn w:val="Policepardfaut"/>
    <w:link w:val="Pieddepage"/>
    <w:semiHidden/>
    <w:rsid w:val="00383437"/>
    <w:rPr>
      <w:rFonts w:ascii="Arial" w:eastAsia="Times New Roman" w:hAnsi="Arial" w:cs="Times New Roman"/>
      <w:color w:val="6E9664"/>
      <w:sz w:val="18"/>
      <w:szCs w:val="24"/>
      <w:lang w:eastAsia="fr-FR"/>
    </w:rPr>
  </w:style>
  <w:style w:type="character" w:styleId="Numrodepage">
    <w:name w:val="page number"/>
    <w:basedOn w:val="Policepardfaut"/>
    <w:semiHidden/>
    <w:rsid w:val="00383437"/>
    <w:rPr>
      <w:b/>
    </w:rPr>
  </w:style>
  <w:style w:type="character" w:styleId="lev">
    <w:name w:val="Strong"/>
    <w:basedOn w:val="Policepardfaut"/>
    <w:uiPriority w:val="22"/>
    <w:qFormat/>
    <w:rsid w:val="00383437"/>
    <w:rPr>
      <w:b/>
      <w:bCs/>
    </w:rPr>
  </w:style>
  <w:style w:type="paragraph" w:styleId="Corpsdetexte">
    <w:name w:val="Body Text"/>
    <w:basedOn w:val="Normal"/>
    <w:link w:val="CorpsdetexteCar"/>
    <w:uiPriority w:val="99"/>
    <w:qFormat/>
    <w:rsid w:val="00383437"/>
    <w:pPr>
      <w:spacing w:before="120" w:after="120" w:line="260" w:lineRule="atLeast"/>
    </w:pPr>
    <w:rPr>
      <w:sz w:val="22"/>
    </w:rPr>
  </w:style>
  <w:style w:type="character" w:customStyle="1" w:styleId="CorpsdetexteCar">
    <w:name w:val="Corps de texte Car"/>
    <w:basedOn w:val="Policepardfaut"/>
    <w:link w:val="Corpsdetexte"/>
    <w:uiPriority w:val="99"/>
    <w:rsid w:val="00383437"/>
    <w:rPr>
      <w:rFonts w:ascii="Arial" w:eastAsia="Times New Roman" w:hAnsi="Arial" w:cs="Times New Roman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HAS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 Yasmina</dc:creator>
  <cp:keywords/>
  <dc:description/>
  <cp:lastModifiedBy>BOUGLE, Céline (ARS-NORMANDIE/DAP/QP/OMEDIT)</cp:lastModifiedBy>
  <cp:revision>2</cp:revision>
  <dcterms:created xsi:type="dcterms:W3CDTF">2023-02-07T15:34:00Z</dcterms:created>
  <dcterms:modified xsi:type="dcterms:W3CDTF">2023-02-07T15:34:00Z</dcterms:modified>
</cp:coreProperties>
</file>